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pStyle w:val="10"/>
        <w:spacing w:line="560" w:lineRule="exact"/>
        <w:ind w:left="0" w:leftChars="0" w:right="0" w:rightChars="0" w:firstLine="0" w:firstLineChars="0"/>
        <w:jc w:val="both"/>
        <w:rPr>
          <w:rFonts w:hint="eastAsia" w:eastAsia="仿宋_GB2312"/>
          <w:b w:val="0"/>
          <w:bCs w:val="0"/>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eastAsia="仿宋_GB2312"/>
          <w:b w:val="0"/>
          <w:bCs w:val="0"/>
          <w:sz w:val="32"/>
          <w:szCs w:val="32"/>
        </w:rPr>
      </w:pPr>
      <w:r>
        <w:rPr>
          <w:rFonts w:hint="eastAsia" w:eastAsia="仿宋_GB2312"/>
          <w:b w:val="0"/>
          <w:bCs w:val="0"/>
          <w:sz w:val="32"/>
          <w:szCs w:val="32"/>
        </w:rPr>
        <w:t>淄资交易</w:t>
      </w:r>
      <w:r>
        <w:rPr>
          <w:rFonts w:hint="eastAsia" w:eastAsia="仿宋_GB2312"/>
          <w:b w:val="0"/>
          <w:bCs w:val="0"/>
          <w:sz w:val="32"/>
          <w:szCs w:val="32"/>
          <w:lang w:val="en-US" w:eastAsia="zh-CN"/>
        </w:rPr>
        <w:t>发</w:t>
      </w:r>
      <w:r>
        <w:rPr>
          <w:rFonts w:hint="eastAsia" w:ascii="仿宋_GB2312" w:eastAsia="仿宋_GB2312"/>
          <w:b w:val="0"/>
          <w:bCs w:val="0"/>
          <w:sz w:val="32"/>
          <w:szCs w:val="32"/>
        </w:rPr>
        <w:t>〔20</w:t>
      </w:r>
      <w:r>
        <w:rPr>
          <w:rFonts w:hint="eastAsia" w:ascii="仿宋_GB2312" w:eastAsia="仿宋_GB2312"/>
          <w:b w:val="0"/>
          <w:bCs w:val="0"/>
          <w:sz w:val="32"/>
          <w:szCs w:val="32"/>
          <w:lang w:val="en-US" w:eastAsia="zh-CN"/>
        </w:rPr>
        <w:t>25</w:t>
      </w:r>
      <w:r>
        <w:rPr>
          <w:rFonts w:hint="eastAsia" w:ascii="仿宋_GB2312" w:eastAsia="仿宋_GB2312"/>
          <w:b w:val="0"/>
          <w:bCs w:val="0"/>
          <w:sz w:val="32"/>
          <w:szCs w:val="32"/>
        </w:rPr>
        <w:t>〕</w:t>
      </w:r>
      <w:r>
        <w:rPr>
          <w:rFonts w:hint="eastAsia" w:ascii="仿宋_GB2312" w:eastAsia="仿宋_GB2312"/>
          <w:b w:val="0"/>
          <w:bCs w:val="0"/>
          <w:sz w:val="32"/>
          <w:szCs w:val="32"/>
          <w:lang w:val="en-US" w:eastAsia="zh-CN"/>
        </w:rPr>
        <w:t>1</w:t>
      </w:r>
      <w:bookmarkStart w:id="0" w:name="_GoBack"/>
      <w:bookmarkEnd w:id="0"/>
      <w:r>
        <w:rPr>
          <w:rFonts w:hint="eastAsia" w:ascii="仿宋_GB2312" w:eastAsia="仿宋_GB2312"/>
          <w:b w:val="0"/>
          <w:bCs w:val="0"/>
          <w:sz w:val="32"/>
          <w:szCs w:val="32"/>
          <w:lang w:val="en-US" w:eastAsia="zh-CN"/>
        </w:rPr>
        <w:t xml:space="preserve"> </w:t>
      </w:r>
      <w:r>
        <w:rPr>
          <w:rFonts w:hint="eastAsia" w:ascii="仿宋_GB2312" w:eastAsia="仿宋_GB2312"/>
          <w:b w:val="0"/>
          <w:bCs w:val="0"/>
          <w:sz w:val="32"/>
          <w:szCs w:val="32"/>
        </w:rPr>
        <w:t xml:space="preserve">号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仿宋_GB2312" w:eastAsia="仿宋_GB2312"/>
          <w:b w:val="0"/>
          <w:bCs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关于修订《淄博市公共资源交易中心社会中介机构不良行为记录公示办法》的通知</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各科室、各分中心，各社会中介机构：</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为进一步规范社会中介机构进场交易行为，维护公共资源交易市场秩序，市公共资源交易中心对《淄博市公共资源交易中心社会中介机构不良行为记录公示办法》进行了修订完善，现印发给你们，请认真贯彻执行。</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default" w:ascii="仿宋_GB2312" w:hAnsi="宋体" w:eastAsia="仿宋_GB2312" w:cs="宋体"/>
          <w:color w:val="auto"/>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4806" w:firstLineChars="1502"/>
        <w:jc w:val="left"/>
        <w:textAlignment w:val="auto"/>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淄博市公共资源交易中心</w:t>
      </w:r>
    </w:p>
    <w:p>
      <w:pPr>
        <w:keepNext w:val="0"/>
        <w:keepLines w:val="0"/>
        <w:pageBreakBefore w:val="0"/>
        <w:widowControl/>
        <w:kinsoku/>
        <w:wordWrap/>
        <w:overflowPunct/>
        <w:topLinePunct w:val="0"/>
        <w:autoSpaceDE/>
        <w:autoSpaceDN/>
        <w:bidi w:val="0"/>
        <w:adjustRightInd/>
        <w:snapToGrid/>
        <w:spacing w:line="560" w:lineRule="exact"/>
        <w:ind w:firstLine="5440" w:firstLineChars="1700"/>
        <w:jc w:val="left"/>
        <w:textAlignment w:val="auto"/>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2025年1月27日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小标宋_GBK" w:hAnsi="方正小标宋_GBK" w:eastAsia="方正小标宋_GBK" w:cs="方正小标宋_GBK"/>
          <w:color w:val="auto"/>
          <w:sz w:val="44"/>
          <w:szCs w:val="44"/>
          <w:lang w:val="en-US" w:eastAsia="zh-CN"/>
        </w:rPr>
      </w:pPr>
      <w:r>
        <w:rPr>
          <w:rFonts w:hint="eastAsia" w:ascii="仿宋_GB2312" w:hAnsi="宋体" w:eastAsia="仿宋_GB2312" w:cs="宋体"/>
          <w:color w:val="auto"/>
          <w:kern w:val="0"/>
          <w:sz w:val="32"/>
          <w:szCs w:val="32"/>
          <w:lang w:val="en-US" w:eastAsia="zh-CN"/>
        </w:rPr>
        <w:t>（此件公开发布）</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淄博市</w:t>
      </w:r>
      <w:r>
        <w:rPr>
          <w:rFonts w:hint="eastAsia" w:ascii="方正小标宋_GBK" w:hAnsi="方正小标宋_GBK" w:eastAsia="方正小标宋_GBK" w:cs="方正小标宋_GBK"/>
          <w:color w:val="auto"/>
          <w:sz w:val="44"/>
          <w:szCs w:val="44"/>
        </w:rPr>
        <w:t>公共资源交易</w:t>
      </w:r>
      <w:r>
        <w:rPr>
          <w:rFonts w:hint="eastAsia" w:ascii="方正小标宋_GBK" w:hAnsi="方正小标宋_GBK" w:eastAsia="方正小标宋_GBK" w:cs="方正小标宋_GBK"/>
          <w:color w:val="auto"/>
          <w:sz w:val="44"/>
          <w:szCs w:val="44"/>
          <w:lang w:val="en-US" w:eastAsia="zh-CN"/>
        </w:rPr>
        <w:t>中心</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val="en-US" w:eastAsia="zh-CN"/>
        </w:rPr>
        <w:t>社会中介机构不良行为</w:t>
      </w:r>
      <w:r>
        <w:rPr>
          <w:rFonts w:hint="eastAsia" w:ascii="方正小标宋_GBK" w:hAnsi="方正小标宋_GBK" w:eastAsia="方正小标宋_GBK" w:cs="方正小标宋_GBK"/>
          <w:color w:val="auto"/>
          <w:sz w:val="44"/>
          <w:szCs w:val="44"/>
        </w:rPr>
        <w:t>记录</w:t>
      </w:r>
      <w:r>
        <w:rPr>
          <w:rFonts w:hint="eastAsia" w:ascii="方正小标宋_GBK" w:hAnsi="方正小标宋_GBK" w:eastAsia="方正小标宋_GBK" w:cs="方正小标宋_GBK"/>
          <w:color w:val="auto"/>
          <w:sz w:val="44"/>
          <w:szCs w:val="44"/>
          <w:lang w:val="en-US" w:eastAsia="zh-CN"/>
        </w:rPr>
        <w:t>公示</w:t>
      </w:r>
      <w:r>
        <w:rPr>
          <w:rFonts w:hint="eastAsia" w:ascii="方正小标宋_GBK" w:hAnsi="方正小标宋_GBK" w:eastAsia="方正小标宋_GBK" w:cs="方正小标宋_GBK"/>
          <w:color w:val="auto"/>
          <w:sz w:val="44"/>
          <w:szCs w:val="44"/>
        </w:rPr>
        <w:t>办法</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为进一步规范</w:t>
      </w:r>
      <w:r>
        <w:rPr>
          <w:rFonts w:hint="eastAsia" w:ascii="仿宋_GB2312" w:hAnsi="仿宋_GB2312" w:eastAsia="仿宋_GB2312" w:cs="仿宋_GB2312"/>
          <w:color w:val="auto"/>
          <w:sz w:val="32"/>
          <w:szCs w:val="32"/>
          <w:lang w:val="en-US" w:eastAsia="zh-CN"/>
        </w:rPr>
        <w:t>社会中介机构进场交易行为，维护公共资源交易市场秩序，</w:t>
      </w:r>
      <w:r>
        <w:rPr>
          <w:rFonts w:hint="eastAsia" w:ascii="仿宋_GB2312" w:hAnsi="仿宋_GB2312" w:eastAsia="仿宋_GB2312" w:cs="仿宋_GB2312"/>
          <w:color w:val="auto"/>
          <w:sz w:val="32"/>
          <w:szCs w:val="32"/>
        </w:rPr>
        <w:t>促进公共资源交易活动</w:t>
      </w:r>
      <w:r>
        <w:rPr>
          <w:rFonts w:hint="eastAsia" w:ascii="仿宋_GB2312" w:hAnsi="仿宋_GB2312" w:eastAsia="仿宋_GB2312" w:cs="仿宋_GB2312"/>
          <w:color w:val="auto"/>
          <w:sz w:val="32"/>
          <w:szCs w:val="32"/>
          <w:lang w:val="en-US" w:eastAsia="zh-CN"/>
        </w:rPr>
        <w:t>公平公正</w:t>
      </w:r>
      <w:r>
        <w:rPr>
          <w:rFonts w:hint="eastAsia" w:ascii="仿宋_GB2312" w:hAnsi="仿宋_GB2312" w:eastAsia="仿宋_GB2312" w:cs="仿宋_GB2312"/>
          <w:color w:val="auto"/>
          <w:sz w:val="32"/>
          <w:szCs w:val="32"/>
        </w:rPr>
        <w:t>有序</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rPr>
        <w:t>，根据《中华人民共和国招标投标法》及</w:t>
      </w:r>
      <w:r>
        <w:rPr>
          <w:rFonts w:hint="eastAsia" w:ascii="仿宋_GB2312" w:hAnsi="仿宋_GB2312" w:eastAsia="仿宋_GB2312" w:cs="仿宋_GB2312"/>
          <w:color w:val="auto"/>
          <w:sz w:val="32"/>
          <w:szCs w:val="32"/>
          <w:lang w:val="en-US" w:eastAsia="zh-CN"/>
        </w:rPr>
        <w:t>其</w:t>
      </w:r>
      <w:r>
        <w:rPr>
          <w:rFonts w:hint="eastAsia" w:ascii="仿宋_GB2312" w:hAnsi="仿宋_GB2312" w:eastAsia="仿宋_GB2312" w:cs="仿宋_GB2312"/>
          <w:color w:val="auto"/>
          <w:sz w:val="32"/>
          <w:szCs w:val="32"/>
        </w:rPr>
        <w:t>实施条例、《中华人民共和国政府采购法》及</w:t>
      </w:r>
      <w:r>
        <w:rPr>
          <w:rFonts w:hint="eastAsia" w:ascii="仿宋_GB2312" w:hAnsi="仿宋_GB2312" w:eastAsia="仿宋_GB2312" w:cs="仿宋_GB2312"/>
          <w:color w:val="auto"/>
          <w:sz w:val="32"/>
          <w:szCs w:val="32"/>
          <w:lang w:val="en-US" w:eastAsia="zh-CN"/>
        </w:rPr>
        <w:t>其</w:t>
      </w:r>
      <w:r>
        <w:rPr>
          <w:rFonts w:hint="eastAsia" w:ascii="仿宋_GB2312" w:hAnsi="仿宋_GB2312" w:eastAsia="仿宋_GB2312" w:cs="仿宋_GB2312"/>
          <w:color w:val="auto"/>
          <w:sz w:val="32"/>
          <w:szCs w:val="32"/>
        </w:rPr>
        <w:t>实施条例、《山东省公共资源交易平台</w:t>
      </w:r>
      <w:r>
        <w:rPr>
          <w:rFonts w:hint="eastAsia" w:ascii="仿宋_GB2312" w:hAnsi="仿宋_GB2312" w:eastAsia="仿宋_GB2312" w:cs="仿宋_GB2312"/>
          <w:color w:val="auto"/>
          <w:sz w:val="32"/>
          <w:szCs w:val="32"/>
          <w:highlight w:val="none"/>
        </w:rPr>
        <w:t>管理办法》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鲁政字〔2022〕41号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《山东省政府采购代理机构管理实施办法》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鲁财采〔2022〕15 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lang w:eastAsia="zh-CN"/>
        </w:rPr>
        <w:t>《淄博市房屋建筑和市政工程招标代理机构及从业人员管理办法》（淄建发</w:t>
      </w:r>
      <w:r>
        <w:rPr>
          <w:rFonts w:hint="eastAsia" w:ascii="仿宋_GB2312" w:hAnsi="仿宋_GB2312" w:eastAsia="仿宋_GB2312" w:cs="仿宋_GB2312"/>
          <w:color w:val="auto"/>
          <w:sz w:val="32"/>
          <w:szCs w:val="32"/>
          <w:highlight w:val="none"/>
          <w:u w:val="none"/>
          <w:lang w:val="en-US" w:eastAsia="zh-CN"/>
        </w:rPr>
        <w:t>〔2024〕</w:t>
      </w:r>
      <w:r>
        <w:rPr>
          <w:rFonts w:hint="eastAsia" w:ascii="仿宋_GB2312" w:hAnsi="仿宋_GB2312" w:eastAsia="仿宋_GB2312" w:cs="仿宋_GB2312"/>
          <w:strike w:val="0"/>
          <w:dstrike w:val="0"/>
          <w:color w:val="auto"/>
          <w:sz w:val="32"/>
          <w:szCs w:val="32"/>
          <w:highlight w:val="none"/>
          <w:lang w:eastAsia="zh-CN"/>
        </w:rPr>
        <w:t>54号）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none"/>
          <w:lang w:val="en-US" w:eastAsia="zh-CN"/>
        </w:rPr>
        <w:t>《关于对淄博市政府采购代理机构实施规范性评价的通知》（淄财采〔2023〕18号）</w:t>
      </w:r>
      <w:r>
        <w:rPr>
          <w:rFonts w:hint="eastAsia" w:ascii="仿宋_GB2312" w:hAnsi="仿宋_GB2312" w:eastAsia="仿宋_GB2312" w:cs="仿宋_GB2312"/>
          <w:color w:val="auto"/>
          <w:sz w:val="32"/>
          <w:szCs w:val="32"/>
          <w:highlight w:val="none"/>
          <w:lang w:eastAsia="zh-CN"/>
        </w:rPr>
        <w:t>等法律法</w:t>
      </w:r>
      <w:r>
        <w:rPr>
          <w:rFonts w:hint="eastAsia" w:ascii="仿宋_GB2312" w:hAnsi="仿宋_GB2312" w:eastAsia="仿宋_GB2312" w:cs="仿宋_GB2312"/>
          <w:color w:val="auto"/>
          <w:sz w:val="32"/>
          <w:szCs w:val="32"/>
          <w:highlight w:val="none"/>
        </w:rPr>
        <w:t>规和</w:t>
      </w:r>
      <w:r>
        <w:rPr>
          <w:rFonts w:hint="eastAsia" w:ascii="仿宋_GB2312" w:hAnsi="仿宋_GB2312" w:eastAsia="仿宋_GB2312" w:cs="仿宋_GB2312"/>
          <w:color w:val="auto"/>
          <w:sz w:val="32"/>
          <w:szCs w:val="32"/>
          <w:highlight w:val="none"/>
          <w:lang w:val="en-US" w:eastAsia="zh-CN"/>
        </w:rPr>
        <w:t>市委巡察反馈意见，</w:t>
      </w:r>
      <w:r>
        <w:rPr>
          <w:rFonts w:hint="eastAsia" w:ascii="仿宋_GB2312" w:hAnsi="仿宋_GB2312" w:eastAsia="仿宋_GB2312" w:cs="仿宋_GB2312"/>
          <w:color w:val="auto"/>
          <w:sz w:val="32"/>
          <w:szCs w:val="32"/>
          <w:highlight w:val="none"/>
        </w:rPr>
        <w:t>结合</w:t>
      </w:r>
      <w:r>
        <w:rPr>
          <w:rFonts w:hint="eastAsia" w:ascii="仿宋_GB2312" w:hAnsi="仿宋_GB2312" w:eastAsia="仿宋_GB2312" w:cs="仿宋_GB2312"/>
          <w:color w:val="auto"/>
          <w:sz w:val="32"/>
          <w:szCs w:val="32"/>
        </w:rPr>
        <w:t>我市实际，制定本办法。</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仿宋_GB2312" w:hAnsi="宋体" w:eastAsia="仿宋_GB2312" w:cs="宋体"/>
          <w:color w:val="auto"/>
          <w:kern w:val="0"/>
          <w:sz w:val="32"/>
          <w:szCs w:val="32"/>
          <w:lang w:val="en-US" w:eastAsia="zh-CN"/>
        </w:rPr>
      </w:pPr>
      <w:r>
        <w:rPr>
          <w:rFonts w:hint="eastAsia" w:ascii="仿宋_GB2312" w:hAnsi="仿宋_GB2312" w:eastAsia="仿宋_GB2312" w:cs="仿宋_GB2312"/>
          <w:b/>
          <w:bCs/>
          <w:color w:val="auto"/>
          <w:sz w:val="32"/>
          <w:szCs w:val="32"/>
          <w:lang w:val="en-US" w:eastAsia="zh-CN"/>
        </w:rPr>
        <w:t>第二条</w:t>
      </w:r>
      <w:r>
        <w:rPr>
          <w:rFonts w:hint="eastAsia" w:ascii="仿宋_GB2312" w:hAnsi="宋体" w:eastAsia="仿宋_GB2312" w:cs="宋体"/>
          <w:color w:val="auto"/>
          <w:kern w:val="0"/>
          <w:sz w:val="32"/>
          <w:szCs w:val="32"/>
          <w:lang w:val="en-US" w:eastAsia="zh-CN"/>
        </w:rPr>
        <w:t xml:space="preserve">  </w:t>
      </w:r>
      <w:r>
        <w:rPr>
          <w:rFonts w:hint="eastAsia" w:ascii="仿宋_GB2312" w:hAnsi="宋体" w:eastAsia="仿宋_GB2312" w:cs="宋体"/>
          <w:color w:val="auto"/>
          <w:kern w:val="0"/>
          <w:sz w:val="32"/>
          <w:szCs w:val="32"/>
        </w:rPr>
        <w:t>本</w:t>
      </w:r>
      <w:r>
        <w:rPr>
          <w:rFonts w:hint="eastAsia" w:ascii="仿宋_GB2312" w:hAnsi="宋体" w:eastAsia="仿宋_GB2312" w:cs="宋体"/>
          <w:color w:val="auto"/>
          <w:kern w:val="0"/>
          <w:sz w:val="32"/>
          <w:szCs w:val="32"/>
          <w:lang w:val="en-US" w:eastAsia="zh-CN"/>
        </w:rPr>
        <w:t>办法所称社会中介机构，是指受招标（采购）人的委托，在淄博市公共资源交易中心（以下简称“交易中心”）组织实施项目的采购代理机构或招标代理机构。</w:t>
      </w:r>
    </w:p>
    <w:p>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eastAsia" w:ascii="仿宋_GB2312" w:hAnsi="宋体" w:eastAsia="仿宋_GB2312" w:cs="宋体"/>
          <w:color w:val="auto"/>
          <w:kern w:val="0"/>
          <w:sz w:val="32"/>
          <w:szCs w:val="32"/>
          <w:lang w:val="en-US" w:eastAsia="zh-CN"/>
        </w:rPr>
      </w:pPr>
      <w:r>
        <w:rPr>
          <w:rFonts w:hint="default" w:ascii="仿宋_GB2312" w:hAnsi="仿宋_GB2312" w:eastAsia="仿宋_GB2312" w:cs="仿宋_GB2312"/>
          <w:b/>
          <w:bCs/>
          <w:color w:val="auto"/>
          <w:sz w:val="32"/>
          <w:szCs w:val="32"/>
          <w:lang w:val="en-US" w:eastAsia="zh-CN"/>
        </w:rPr>
        <w:t>第三条</w:t>
      </w:r>
      <w:r>
        <w:rPr>
          <w:rFonts w:hint="eastAsia" w:ascii="仿宋_GB2312" w:hAnsi="宋体" w:eastAsia="仿宋_GB2312" w:cs="宋体"/>
          <w:color w:val="auto"/>
          <w:kern w:val="0"/>
          <w:sz w:val="32"/>
          <w:szCs w:val="32"/>
          <w:lang w:val="en-US" w:eastAsia="zh-CN"/>
        </w:rPr>
        <w:t xml:space="preserve">  本办法所称不良行为是指社会中介机构在年度进场交易活动中相关执业行为违反法律法规规定和文件要求，以及其他扰乱交易秩序、影响交易活动开展的行为。</w:t>
      </w:r>
    </w:p>
    <w:p>
      <w:pPr>
        <w:keepNext w:val="0"/>
        <w:keepLines w:val="0"/>
        <w:pageBreakBefore w:val="0"/>
        <w:widowControl/>
        <w:kinsoku/>
        <w:wordWrap/>
        <w:overflowPunct/>
        <w:topLinePunct w:val="0"/>
        <w:autoSpaceDE/>
        <w:autoSpaceDN/>
        <w:bidi w:val="0"/>
        <w:adjustRightInd/>
        <w:snapToGrid/>
        <w:spacing w:line="560" w:lineRule="exact"/>
        <w:ind w:firstLine="645"/>
        <w:jc w:val="both"/>
        <w:textAlignment w:val="auto"/>
        <w:rPr>
          <w:rFonts w:hint="default" w:ascii="仿宋_GB2312" w:hAnsi="宋体" w:eastAsia="仿宋_GB2312" w:cs="宋体"/>
          <w:color w:val="auto"/>
          <w:kern w:val="0"/>
          <w:sz w:val="32"/>
          <w:szCs w:val="32"/>
          <w:lang w:val="en-US" w:eastAsia="zh-CN"/>
        </w:rPr>
      </w:pPr>
      <w:r>
        <w:rPr>
          <w:rFonts w:hint="default" w:ascii="仿宋_GB2312" w:hAnsi="仿宋_GB2312" w:eastAsia="仿宋_GB2312" w:cs="仿宋_GB2312"/>
          <w:b/>
          <w:bCs/>
          <w:color w:val="auto"/>
          <w:sz w:val="32"/>
          <w:szCs w:val="32"/>
          <w:lang w:val="en-US" w:eastAsia="zh-CN"/>
        </w:rPr>
        <w:t>第</w:t>
      </w:r>
      <w:r>
        <w:rPr>
          <w:rFonts w:hint="eastAsia" w:ascii="仿宋_GB2312" w:hAnsi="仿宋_GB2312" w:eastAsia="仿宋_GB2312" w:cs="仿宋_GB2312"/>
          <w:b/>
          <w:bCs/>
          <w:color w:val="auto"/>
          <w:sz w:val="32"/>
          <w:szCs w:val="32"/>
          <w:lang w:val="en-US" w:eastAsia="zh-CN"/>
        </w:rPr>
        <w:t>四</w:t>
      </w:r>
      <w:r>
        <w:rPr>
          <w:rFonts w:hint="default" w:ascii="仿宋_GB2312" w:hAnsi="仿宋_GB2312" w:eastAsia="仿宋_GB2312" w:cs="仿宋_GB2312"/>
          <w:b/>
          <w:bCs/>
          <w:color w:val="auto"/>
          <w:sz w:val="32"/>
          <w:szCs w:val="32"/>
          <w:lang w:val="en-US" w:eastAsia="zh-CN"/>
        </w:rPr>
        <w:t>条</w:t>
      </w:r>
      <w:r>
        <w:rPr>
          <w:rFonts w:hint="default" w:ascii="仿宋_GB2312" w:hAnsi="宋体" w:eastAsia="仿宋_GB2312" w:cs="宋体"/>
          <w:color w:val="auto"/>
          <w:kern w:val="0"/>
          <w:sz w:val="32"/>
          <w:szCs w:val="32"/>
          <w:lang w:val="en-US" w:eastAsia="zh-CN"/>
        </w:rPr>
        <w:t xml:space="preserve">  不良行为</w:t>
      </w:r>
      <w:r>
        <w:rPr>
          <w:rFonts w:hint="eastAsia" w:ascii="仿宋_GB2312" w:hAnsi="宋体" w:eastAsia="仿宋_GB2312" w:cs="宋体"/>
          <w:color w:val="auto"/>
          <w:kern w:val="0"/>
          <w:sz w:val="32"/>
          <w:szCs w:val="32"/>
          <w:lang w:val="en-US" w:eastAsia="zh-CN"/>
        </w:rPr>
        <w:t>的</w:t>
      </w:r>
      <w:r>
        <w:rPr>
          <w:rFonts w:hint="default" w:ascii="仿宋_GB2312" w:hAnsi="宋体" w:eastAsia="仿宋_GB2312" w:cs="宋体"/>
          <w:color w:val="auto"/>
          <w:kern w:val="0"/>
          <w:sz w:val="32"/>
          <w:szCs w:val="32"/>
          <w:lang w:val="en-US" w:eastAsia="zh-CN"/>
        </w:rPr>
        <w:t>记录坚持依法依规、客观公正、及时高效、信息共享的原则。</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lang w:val="en-US" w:eastAsia="zh-CN"/>
        </w:rPr>
        <w:t>第五条</w:t>
      </w:r>
      <w:r>
        <w:rPr>
          <w:rFonts w:hint="eastAsia" w:ascii="仿宋_GB2312" w:hAnsi="仿宋_GB2312" w:eastAsia="仿宋_GB2312" w:cs="仿宋_GB2312"/>
          <w:color w:val="auto"/>
          <w:sz w:val="32"/>
          <w:szCs w:val="32"/>
          <w:lang w:val="en-US" w:eastAsia="zh-CN"/>
        </w:rPr>
        <w:t xml:space="preserve">  </w:t>
      </w:r>
      <w:r>
        <w:rPr>
          <w:rFonts w:hint="eastAsia" w:ascii="仿宋_GB2312" w:hAnsi="宋体" w:eastAsia="仿宋_GB2312" w:cs="宋体"/>
          <w:color w:val="auto"/>
          <w:kern w:val="0"/>
          <w:sz w:val="32"/>
          <w:szCs w:val="32"/>
          <w:lang w:val="en-US" w:eastAsia="zh-CN"/>
        </w:rPr>
        <w:t>交易中心</w:t>
      </w:r>
      <w:r>
        <w:rPr>
          <w:rFonts w:hint="eastAsia" w:ascii="仿宋_GB2312" w:hAnsi="仿宋_GB2312" w:eastAsia="仿宋_GB2312" w:cs="仿宋_GB2312"/>
          <w:color w:val="auto"/>
          <w:sz w:val="32"/>
          <w:szCs w:val="32"/>
          <w:lang w:val="en-US" w:eastAsia="zh-CN"/>
        </w:rPr>
        <w:t>负责</w:t>
      </w:r>
      <w:r>
        <w:rPr>
          <w:rFonts w:hint="default" w:ascii="仿宋_GB2312" w:hAnsi="宋体" w:eastAsia="仿宋_GB2312" w:cs="宋体"/>
          <w:color w:val="auto"/>
          <w:kern w:val="0"/>
          <w:sz w:val="32"/>
          <w:szCs w:val="32"/>
          <w:lang w:val="en-US" w:eastAsia="zh-CN"/>
        </w:rPr>
        <w:t>为进场交易项目提供见证服务，</w:t>
      </w:r>
      <w:r>
        <w:rPr>
          <w:rFonts w:hint="eastAsia" w:ascii="仿宋_GB2312" w:hAnsi="仿宋_GB2312" w:eastAsia="仿宋_GB2312" w:cs="仿宋_GB2312"/>
          <w:color w:val="auto"/>
          <w:sz w:val="32"/>
          <w:szCs w:val="32"/>
          <w:lang w:val="en-US" w:eastAsia="zh-CN"/>
        </w:rPr>
        <w:t>对社会中介机构的不良行为进行记录</w:t>
      </w:r>
      <w:r>
        <w:rPr>
          <w:rFonts w:hint="eastAsia" w:ascii="仿宋_GB2312" w:hAnsi="仿宋_GB2312" w:eastAsia="仿宋_GB2312" w:cs="仿宋_GB2312"/>
          <w:color w:val="auto"/>
          <w:sz w:val="32"/>
          <w:szCs w:val="32"/>
          <w:highlight w:val="none"/>
          <w:lang w:val="en-US" w:eastAsia="zh-CN"/>
        </w:rPr>
        <w:t>，并于1个工作日内向监督部门发出函告单</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详见</w:t>
      </w:r>
      <w:r>
        <w:rPr>
          <w:rFonts w:hint="default" w:ascii="仿宋_GB2312" w:hAnsi="仿宋_GB2312" w:eastAsia="仿宋_GB2312" w:cs="仿宋_GB2312"/>
          <w:color w:val="auto"/>
          <w:sz w:val="32"/>
          <w:szCs w:val="32"/>
          <w:lang w:val="en-US" w:eastAsia="zh-CN"/>
        </w:rPr>
        <w:t>附件</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lang w:val="en-US" w:eastAsia="zh-CN"/>
        </w:rPr>
        <w:t>，10个工作日后跟踪函告处理结果。</w:t>
      </w:r>
      <w:r>
        <w:rPr>
          <w:rFonts w:hint="eastAsia" w:ascii="仿宋_GB2312" w:hAnsi="仿宋_GB2312" w:eastAsia="仿宋_GB2312" w:cs="仿宋_GB2312"/>
          <w:color w:val="auto"/>
          <w:sz w:val="32"/>
          <w:szCs w:val="32"/>
          <w:highlight w:val="none"/>
          <w:u w:val="none"/>
          <w:lang w:val="en-US" w:eastAsia="zh-CN"/>
        </w:rPr>
        <w:t>项目交易结束后，通过档案归集、协助处理投诉等过程中发现的不良行为应及时记录并函告</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第六条</w:t>
      </w:r>
      <w:r>
        <w:rPr>
          <w:rFonts w:hint="eastAsia" w:ascii="仿宋_GB2312" w:hAnsi="仿宋_GB2312" w:eastAsia="仿宋_GB2312" w:cs="仿宋_GB2312"/>
          <w:color w:val="auto"/>
          <w:sz w:val="32"/>
          <w:szCs w:val="32"/>
          <w:lang w:val="en-US" w:eastAsia="zh-CN"/>
        </w:rPr>
        <w:t xml:space="preserve">  </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的</w:t>
      </w:r>
      <w:r>
        <w:rPr>
          <w:rFonts w:hint="default" w:ascii="仿宋_GB2312" w:hAnsi="仿宋_GB2312" w:eastAsia="仿宋_GB2312" w:cs="仿宋_GB2312"/>
          <w:color w:val="auto"/>
          <w:sz w:val="32"/>
          <w:szCs w:val="32"/>
          <w:lang w:val="en-US" w:eastAsia="zh-CN"/>
        </w:rPr>
        <w:t>不良行为记录</w:t>
      </w:r>
      <w:r>
        <w:rPr>
          <w:rFonts w:hint="eastAsia" w:ascii="仿宋_GB2312" w:hAnsi="仿宋_GB2312" w:eastAsia="仿宋_GB2312" w:cs="仿宋_GB2312"/>
          <w:color w:val="auto"/>
          <w:sz w:val="32"/>
          <w:szCs w:val="32"/>
          <w:lang w:val="en-US" w:eastAsia="zh-CN"/>
        </w:rPr>
        <w:t>按照</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场内交易</w:t>
      </w:r>
      <w:r>
        <w:rPr>
          <w:rFonts w:hint="default" w:ascii="仿宋_GB2312" w:hAnsi="仿宋_GB2312" w:eastAsia="仿宋_GB2312" w:cs="仿宋_GB2312"/>
          <w:color w:val="auto"/>
          <w:sz w:val="32"/>
          <w:szCs w:val="32"/>
          <w:lang w:val="en-US" w:eastAsia="zh-CN"/>
        </w:rPr>
        <w:t>不良行为</w:t>
      </w:r>
      <w:r>
        <w:rPr>
          <w:rFonts w:hint="eastAsia" w:ascii="仿宋_GB2312" w:hAnsi="仿宋_GB2312" w:eastAsia="仿宋_GB2312" w:cs="仿宋_GB2312"/>
          <w:color w:val="auto"/>
          <w:sz w:val="32"/>
          <w:szCs w:val="32"/>
          <w:lang w:val="en-US" w:eastAsia="zh-CN"/>
        </w:rPr>
        <w:t>认定</w:t>
      </w:r>
      <w:r>
        <w:rPr>
          <w:rFonts w:hint="default"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lang w:val="en-US" w:eastAsia="zh-CN"/>
        </w:rPr>
        <w:t>详见</w:t>
      </w:r>
      <w:r>
        <w:rPr>
          <w:rFonts w:hint="default" w:ascii="仿宋_GB2312" w:hAnsi="仿宋_GB2312" w:eastAsia="仿宋_GB2312" w:cs="仿宋_GB2312"/>
          <w:color w:val="auto"/>
          <w:sz w:val="32"/>
          <w:szCs w:val="32"/>
          <w:lang w:val="en-US" w:eastAsia="zh-CN"/>
        </w:rPr>
        <w:t>附件</w:t>
      </w:r>
      <w:r>
        <w:rPr>
          <w:rFonts w:hint="eastAsia" w:ascii="仿宋_GB2312" w:hAnsi="仿宋_GB2312" w:eastAsia="仿宋_GB2312" w:cs="仿宋_GB2312"/>
          <w:color w:val="auto"/>
          <w:sz w:val="32"/>
          <w:szCs w:val="32"/>
          <w:lang w:val="en-US" w:eastAsia="zh-CN"/>
        </w:rPr>
        <w:t>1、2</w:t>
      </w:r>
      <w:r>
        <w:rPr>
          <w:rFonts w:hint="default"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lang w:val="en-US" w:eastAsia="zh-CN"/>
        </w:rPr>
        <w:t>，不良行为分为</w:t>
      </w:r>
      <w:r>
        <w:rPr>
          <w:rFonts w:hint="eastAsia" w:ascii="仿宋_GB2312" w:hAnsi="仿宋_GB2312" w:eastAsia="仿宋_GB2312" w:cs="仿宋_GB2312"/>
          <w:color w:val="auto"/>
          <w:sz w:val="32"/>
          <w:szCs w:val="32"/>
          <w:highlight w:val="none"/>
          <w:lang w:val="en-US" w:eastAsia="zh-CN"/>
        </w:rPr>
        <w:t>轻微、一般、严重</w:t>
      </w:r>
      <w:r>
        <w:rPr>
          <w:rFonts w:hint="eastAsia" w:ascii="仿宋_GB2312" w:hAnsi="仿宋_GB2312" w:eastAsia="仿宋_GB2312" w:cs="仿宋_GB2312"/>
          <w:color w:val="auto"/>
          <w:sz w:val="32"/>
          <w:szCs w:val="32"/>
          <w:lang w:val="en-US" w:eastAsia="zh-CN"/>
        </w:rPr>
        <w:t>3个等级。</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第七条</w:t>
      </w:r>
      <w:r>
        <w:rPr>
          <w:rFonts w:hint="eastAsia" w:ascii="仿宋_GB2312" w:hAnsi="仿宋_GB2312" w:eastAsia="仿宋_GB2312" w:cs="仿宋_GB2312"/>
          <w:color w:val="auto"/>
          <w:sz w:val="32"/>
          <w:szCs w:val="32"/>
          <w:lang w:val="en-US" w:eastAsia="zh-CN"/>
        </w:rPr>
        <w:t xml:space="preserve">  对于</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出现的不良行为，交易中心将按照《淄博市公共资源交易</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不良行为记录通知单》（详见附件5）及时通报给</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w:t>
      </w:r>
      <w:r>
        <w:rPr>
          <w:rFonts w:hint="eastAsia" w:ascii="仿宋_GB2312" w:hAnsi="宋体" w:eastAsia="仿宋_GB2312" w:cs="宋体"/>
          <w:color w:val="auto"/>
          <w:kern w:val="0"/>
          <w:sz w:val="32"/>
          <w:szCs w:val="32"/>
          <w:lang w:val="en-US" w:eastAsia="zh-CN"/>
        </w:rPr>
        <w:t>社会中介机构</w:t>
      </w:r>
      <w:r>
        <w:rPr>
          <w:rFonts w:hint="default" w:ascii="仿宋_GB2312" w:hAnsi="仿宋_GB2312" w:eastAsia="仿宋_GB2312" w:cs="仿宋_GB2312"/>
          <w:color w:val="auto"/>
          <w:sz w:val="32"/>
          <w:szCs w:val="32"/>
          <w:lang w:val="en-US" w:eastAsia="zh-CN"/>
        </w:rPr>
        <w:t>如对记录有异议的，</w:t>
      </w:r>
      <w:r>
        <w:rPr>
          <w:rFonts w:hint="eastAsia" w:ascii="仿宋_GB2312" w:hAnsi="仿宋_GB2312" w:eastAsia="仿宋_GB2312" w:cs="仿宋_GB2312"/>
          <w:color w:val="auto"/>
          <w:sz w:val="32"/>
          <w:szCs w:val="32"/>
          <w:lang w:val="en-US" w:eastAsia="zh-CN"/>
        </w:rPr>
        <w:t>应当</w:t>
      </w:r>
      <w:r>
        <w:rPr>
          <w:rFonts w:hint="default"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个工作日内以书面形式向</w:t>
      </w:r>
      <w:r>
        <w:rPr>
          <w:rFonts w:hint="eastAsia" w:ascii="仿宋_GB2312" w:hAnsi="仿宋_GB2312" w:eastAsia="仿宋_GB2312" w:cs="仿宋_GB2312"/>
          <w:color w:val="auto"/>
          <w:sz w:val="32"/>
          <w:szCs w:val="32"/>
          <w:lang w:val="en-US" w:eastAsia="zh-CN"/>
        </w:rPr>
        <w:t>交易中心</w:t>
      </w:r>
      <w:r>
        <w:rPr>
          <w:rFonts w:hint="default" w:ascii="仿宋_GB2312" w:hAnsi="仿宋_GB2312" w:eastAsia="仿宋_GB2312" w:cs="仿宋_GB2312"/>
          <w:color w:val="auto"/>
          <w:sz w:val="32"/>
          <w:szCs w:val="32"/>
          <w:lang w:val="en-US" w:eastAsia="zh-CN"/>
        </w:rPr>
        <w:t>反映，</w:t>
      </w:r>
      <w:r>
        <w:rPr>
          <w:rFonts w:hint="eastAsia" w:ascii="仿宋_GB2312" w:hAnsi="仿宋_GB2312" w:eastAsia="仿宋_GB2312" w:cs="仿宋_GB2312"/>
          <w:color w:val="auto"/>
          <w:sz w:val="32"/>
          <w:szCs w:val="32"/>
          <w:lang w:val="en-US" w:eastAsia="zh-CN"/>
        </w:rPr>
        <w:t>交易中心</w:t>
      </w:r>
      <w:r>
        <w:rPr>
          <w:rFonts w:hint="default" w:ascii="仿宋_GB2312" w:hAnsi="仿宋_GB2312" w:eastAsia="仿宋_GB2312" w:cs="仿宋_GB2312"/>
          <w:color w:val="auto"/>
          <w:sz w:val="32"/>
          <w:szCs w:val="32"/>
          <w:lang w:val="en-US" w:eastAsia="zh-CN"/>
        </w:rPr>
        <w:t>在接到书面反映后</w:t>
      </w:r>
      <w:r>
        <w:rPr>
          <w:rFonts w:hint="eastAsia" w:ascii="仿宋_GB2312" w:hAnsi="仿宋_GB2312" w:eastAsia="仿宋_GB2312" w:cs="仿宋_GB2312"/>
          <w:color w:val="auto"/>
          <w:sz w:val="32"/>
          <w:szCs w:val="32"/>
          <w:lang w:val="en-US" w:eastAsia="zh-CN"/>
        </w:rPr>
        <w:t>5个</w:t>
      </w:r>
      <w:r>
        <w:rPr>
          <w:rFonts w:hint="default" w:ascii="仿宋_GB2312" w:hAnsi="仿宋_GB2312" w:eastAsia="仿宋_GB2312" w:cs="仿宋_GB2312"/>
          <w:color w:val="auto"/>
          <w:sz w:val="32"/>
          <w:szCs w:val="32"/>
          <w:lang w:val="en-US" w:eastAsia="zh-CN"/>
        </w:rPr>
        <w:t>工作日内作出答复，经核实书面反映为事实的，及时更正记录结果</w:t>
      </w:r>
      <w:r>
        <w:rPr>
          <w:rFonts w:hint="eastAsia" w:ascii="仿宋_GB2312" w:hAnsi="仿宋_GB2312" w:eastAsia="仿宋_GB2312" w:cs="仿宋_GB2312"/>
          <w:color w:val="auto"/>
          <w:sz w:val="32"/>
          <w:szCs w:val="32"/>
          <w:lang w:val="en-US" w:eastAsia="zh-CN"/>
        </w:rPr>
        <w:t>，并同步告知监督部门。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 xml:space="preserve">第八条 </w:t>
      </w:r>
      <w:r>
        <w:rPr>
          <w:rFonts w:hint="eastAsia" w:ascii="仿宋_GB2312" w:hAnsi="仿宋_GB2312" w:eastAsia="仿宋_GB2312" w:cs="仿宋_GB2312"/>
          <w:color w:val="auto"/>
          <w:sz w:val="32"/>
          <w:szCs w:val="32"/>
          <w:lang w:val="en-US" w:eastAsia="zh-CN"/>
        </w:rPr>
        <w:t xml:space="preserve"> 交易中心每季度对见证记录的社会中介机构</w:t>
      </w:r>
      <w:r>
        <w:rPr>
          <w:rFonts w:hint="default" w:ascii="仿宋_GB2312" w:hAnsi="仿宋_GB2312" w:eastAsia="仿宋_GB2312" w:cs="仿宋_GB2312"/>
          <w:color w:val="auto"/>
          <w:sz w:val="32"/>
          <w:szCs w:val="32"/>
          <w:lang w:val="en-US" w:eastAsia="zh-CN"/>
        </w:rPr>
        <w:t>不良行为</w:t>
      </w:r>
      <w:r>
        <w:rPr>
          <w:rFonts w:hint="eastAsia" w:ascii="仿宋_GB2312" w:hAnsi="仿宋_GB2312" w:eastAsia="仿宋_GB2312" w:cs="仿宋_GB2312"/>
          <w:color w:val="auto"/>
          <w:sz w:val="32"/>
          <w:szCs w:val="32"/>
          <w:lang w:val="en-US" w:eastAsia="zh-CN"/>
        </w:rPr>
        <w:t>信息进行汇总，通过淄博市公共资源交易</w:t>
      </w:r>
      <w:r>
        <w:rPr>
          <w:rFonts w:hint="default" w:ascii="仿宋_GB2312" w:hAnsi="仿宋_GB2312" w:eastAsia="仿宋_GB2312" w:cs="仿宋_GB2312"/>
          <w:color w:val="auto"/>
          <w:sz w:val="32"/>
          <w:szCs w:val="32"/>
          <w:lang w:val="en-US" w:eastAsia="zh-CN"/>
        </w:rPr>
        <w:t>网</w:t>
      </w:r>
      <w:r>
        <w:rPr>
          <w:rFonts w:hint="eastAsia" w:ascii="仿宋_GB2312" w:hAnsi="仿宋_GB2312" w:eastAsia="仿宋_GB2312" w:cs="仿宋_GB2312"/>
          <w:color w:val="auto"/>
          <w:sz w:val="32"/>
          <w:szCs w:val="32"/>
          <w:highlight w:val="none"/>
          <w:lang w:val="en-US" w:eastAsia="zh-CN"/>
        </w:rPr>
        <w:t>面向社会披露，</w:t>
      </w:r>
      <w:r>
        <w:rPr>
          <w:rFonts w:hint="eastAsia" w:ascii="仿宋_GB2312" w:hAnsi="仿宋_GB2312" w:eastAsia="仿宋_GB2312" w:cs="仿宋_GB2312"/>
          <w:color w:val="auto"/>
          <w:sz w:val="32"/>
          <w:szCs w:val="32"/>
          <w:lang w:val="en-US" w:eastAsia="zh-CN"/>
        </w:rPr>
        <w:t>披露的内容包括</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的名称、项目名称及编号、不良行为的程度及内容等。</w:t>
      </w:r>
      <w:r>
        <w:rPr>
          <w:rFonts w:hint="eastAsia" w:ascii="仿宋_GB2312" w:hAnsi="仿宋_GB2312" w:eastAsia="仿宋_GB2312" w:cs="仿宋_GB2312"/>
          <w:color w:val="auto"/>
          <w:sz w:val="32"/>
          <w:szCs w:val="32"/>
          <w:highlight w:val="none"/>
          <w:lang w:val="en-US" w:eastAsia="zh-CN"/>
        </w:rPr>
        <w:t>通过不良行为的曝光警示，促使</w:t>
      </w:r>
      <w:r>
        <w:rPr>
          <w:rFonts w:hint="eastAsia" w:ascii="仿宋_GB2312" w:hAnsi="仿宋_GB2312" w:eastAsia="仿宋_GB2312" w:cs="仿宋_GB2312"/>
          <w:color w:val="auto"/>
          <w:sz w:val="32"/>
          <w:szCs w:val="32"/>
          <w:lang w:val="en-US" w:eastAsia="zh-CN"/>
        </w:rPr>
        <w:t>社会中介机构</w:t>
      </w:r>
      <w:r>
        <w:rPr>
          <w:rFonts w:hint="eastAsia" w:ascii="仿宋_GB2312" w:hAnsi="仿宋_GB2312" w:eastAsia="仿宋_GB2312" w:cs="仿宋_GB2312"/>
          <w:color w:val="auto"/>
          <w:sz w:val="32"/>
          <w:szCs w:val="32"/>
          <w:highlight w:val="none"/>
          <w:lang w:val="en-US" w:eastAsia="zh-CN"/>
        </w:rPr>
        <w:t>持续规范提升执业行为，强化执业能力和依法执业意识，营造良好的市场环境。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第九条  </w:t>
      </w:r>
      <w:r>
        <w:rPr>
          <w:rFonts w:hint="eastAsia" w:ascii="仿宋_GB2312" w:hAnsi="仿宋_GB2312" w:eastAsia="仿宋_GB2312" w:cs="仿宋_GB2312"/>
          <w:color w:val="auto"/>
          <w:sz w:val="32"/>
          <w:szCs w:val="32"/>
          <w:lang w:val="en-US" w:eastAsia="zh-CN"/>
        </w:rPr>
        <w:t>交易中心每半年将执业行为良好的</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lang w:val="en-US" w:eastAsia="zh-CN"/>
        </w:rPr>
        <w:t>情况，以</w:t>
      </w:r>
      <w:r>
        <w:rPr>
          <w:rFonts w:hint="default" w:ascii="仿宋_GB2312" w:hAnsi="仿宋_GB2312" w:eastAsia="仿宋_GB2312" w:cs="仿宋_GB2312"/>
          <w:color w:val="auto"/>
          <w:sz w:val="32"/>
          <w:szCs w:val="32"/>
          <w:lang w:val="en-US" w:eastAsia="zh-CN"/>
        </w:rPr>
        <w:t>书面</w:t>
      </w:r>
      <w:r>
        <w:rPr>
          <w:rFonts w:hint="eastAsia" w:ascii="仿宋_GB2312" w:hAnsi="仿宋_GB2312" w:eastAsia="仿宋_GB2312" w:cs="仿宋_GB2312"/>
          <w:color w:val="auto"/>
          <w:sz w:val="32"/>
          <w:szCs w:val="32"/>
          <w:lang w:val="en-US" w:eastAsia="zh-CN"/>
        </w:rPr>
        <w:t>形式</w:t>
      </w:r>
      <w:r>
        <w:rPr>
          <w:rFonts w:hint="default" w:ascii="仿宋_GB2312" w:hAnsi="仿宋_GB2312" w:eastAsia="仿宋_GB2312" w:cs="仿宋_GB2312"/>
          <w:color w:val="auto"/>
          <w:sz w:val="32"/>
          <w:szCs w:val="32"/>
          <w:lang w:val="en-US" w:eastAsia="zh-CN"/>
        </w:rPr>
        <w:t>告知</w:t>
      </w:r>
      <w:r>
        <w:rPr>
          <w:rFonts w:hint="eastAsia" w:ascii="仿宋_GB2312" w:hAnsi="仿宋_GB2312" w:eastAsia="仿宋_GB2312" w:cs="仿宋_GB2312"/>
          <w:color w:val="auto"/>
          <w:sz w:val="32"/>
          <w:szCs w:val="32"/>
          <w:lang w:val="en-US" w:eastAsia="zh-CN"/>
        </w:rPr>
        <w:t>我市招标采购单位</w:t>
      </w:r>
      <w:r>
        <w:rPr>
          <w:rFonts w:hint="eastAsia" w:ascii="仿宋_GB2312" w:hAnsi="仿宋_GB2312" w:eastAsia="仿宋_GB2312" w:cs="仿宋_GB2312"/>
          <w:color w:val="auto"/>
          <w:sz w:val="32"/>
          <w:szCs w:val="32"/>
          <w:highlight w:val="none"/>
          <w:lang w:val="en-US" w:eastAsia="zh-CN"/>
        </w:rPr>
        <w:t>，作为各级招标采购单位择优选择</w:t>
      </w:r>
      <w:r>
        <w:rPr>
          <w:rFonts w:hint="eastAsia" w:ascii="仿宋_GB2312" w:hAnsi="宋体" w:eastAsia="仿宋_GB2312" w:cs="宋体"/>
          <w:color w:val="auto"/>
          <w:kern w:val="0"/>
          <w:sz w:val="32"/>
          <w:szCs w:val="32"/>
          <w:lang w:val="en-US" w:eastAsia="zh-CN"/>
        </w:rPr>
        <w:t>社会中介机构</w:t>
      </w:r>
      <w:r>
        <w:rPr>
          <w:rFonts w:hint="eastAsia" w:ascii="仿宋_GB2312" w:hAnsi="仿宋_GB2312" w:eastAsia="仿宋_GB2312" w:cs="仿宋_GB2312"/>
          <w:color w:val="auto"/>
          <w:sz w:val="32"/>
          <w:szCs w:val="32"/>
          <w:highlight w:val="none"/>
          <w:lang w:val="en-US" w:eastAsia="zh-CN"/>
        </w:rPr>
        <w:t xml:space="preserve">的参考依据。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第十条 </w:t>
      </w:r>
      <w:r>
        <w:rPr>
          <w:rFonts w:hint="default" w:ascii="仿宋_GB2312" w:hAnsi="仿宋_GB2312" w:eastAsia="仿宋_GB2312" w:cs="仿宋_GB2312"/>
          <w:color w:val="auto"/>
          <w:sz w:val="32"/>
          <w:szCs w:val="32"/>
          <w:lang w:val="en-US" w:eastAsia="zh-CN"/>
        </w:rPr>
        <w:t>法律法规对</w:t>
      </w:r>
      <w:r>
        <w:rPr>
          <w:rFonts w:hint="eastAsia" w:ascii="仿宋_GB2312" w:hAnsi="宋体" w:eastAsia="仿宋_GB2312" w:cs="宋体"/>
          <w:color w:val="auto"/>
          <w:kern w:val="0"/>
          <w:sz w:val="32"/>
          <w:szCs w:val="32"/>
          <w:lang w:val="en-US" w:eastAsia="zh-CN"/>
        </w:rPr>
        <w:t>社会中介机构</w:t>
      </w:r>
      <w:r>
        <w:rPr>
          <w:rFonts w:hint="default" w:ascii="仿宋_GB2312" w:hAnsi="仿宋_GB2312" w:eastAsia="仿宋_GB2312" w:cs="仿宋_GB2312"/>
          <w:color w:val="auto"/>
          <w:sz w:val="32"/>
          <w:szCs w:val="32"/>
          <w:lang w:val="en-US" w:eastAsia="zh-CN"/>
        </w:rPr>
        <w:t>不良行为记录</w:t>
      </w:r>
      <w:r>
        <w:rPr>
          <w:rFonts w:hint="eastAsia" w:ascii="仿宋_GB2312" w:hAnsi="仿宋_GB2312" w:eastAsia="仿宋_GB2312" w:cs="仿宋_GB2312"/>
          <w:color w:val="auto"/>
          <w:sz w:val="32"/>
          <w:szCs w:val="32"/>
          <w:lang w:val="en-US" w:eastAsia="zh-CN"/>
        </w:rPr>
        <w:t>公示</w:t>
      </w:r>
      <w:r>
        <w:rPr>
          <w:rFonts w:hint="default" w:ascii="仿宋_GB2312" w:hAnsi="仿宋_GB2312" w:eastAsia="仿宋_GB2312" w:cs="仿宋_GB2312"/>
          <w:color w:val="auto"/>
          <w:sz w:val="32"/>
          <w:szCs w:val="32"/>
          <w:lang w:val="en-US" w:eastAsia="zh-CN"/>
        </w:rPr>
        <w:t>另有规定的，从其规定。</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第十一条</w:t>
      </w:r>
      <w:r>
        <w:rPr>
          <w:rFonts w:hint="default" w:ascii="仿宋_GB2312" w:hAnsi="仿宋_GB2312" w:eastAsia="仿宋_GB2312" w:cs="仿宋_GB2312"/>
          <w:color w:val="auto"/>
          <w:sz w:val="32"/>
          <w:szCs w:val="32"/>
          <w:lang w:val="en-US" w:eastAsia="zh-CN"/>
        </w:rPr>
        <w:t xml:space="preserve"> 本办法由</w:t>
      </w:r>
      <w:r>
        <w:rPr>
          <w:rFonts w:hint="eastAsia" w:ascii="仿宋_GB2312" w:hAnsi="仿宋_GB2312" w:eastAsia="仿宋_GB2312" w:cs="仿宋_GB2312"/>
          <w:color w:val="auto"/>
          <w:sz w:val="32"/>
          <w:szCs w:val="32"/>
          <w:lang w:val="en-US" w:eastAsia="zh-CN"/>
        </w:rPr>
        <w:t>淄博市</w:t>
      </w:r>
      <w:r>
        <w:rPr>
          <w:rFonts w:hint="default" w:ascii="仿宋_GB2312" w:hAnsi="仿宋_GB2312" w:eastAsia="仿宋_GB2312" w:cs="仿宋_GB2312"/>
          <w:color w:val="auto"/>
          <w:sz w:val="32"/>
          <w:szCs w:val="32"/>
          <w:lang w:val="en-US" w:eastAsia="zh-CN"/>
        </w:rPr>
        <w:t>公共资源交易</w:t>
      </w:r>
      <w:r>
        <w:rPr>
          <w:rFonts w:hint="eastAsia" w:ascii="仿宋_GB2312" w:hAnsi="仿宋_GB2312" w:eastAsia="仿宋_GB2312" w:cs="仿宋_GB2312"/>
          <w:color w:val="auto"/>
          <w:sz w:val="32"/>
          <w:szCs w:val="32"/>
          <w:lang w:val="en-US" w:eastAsia="zh-CN"/>
        </w:rPr>
        <w:t>中心</w:t>
      </w:r>
      <w:r>
        <w:rPr>
          <w:rFonts w:hint="default" w:ascii="仿宋_GB2312" w:hAnsi="仿宋_GB2312" w:eastAsia="仿宋_GB2312" w:cs="仿宋_GB2312"/>
          <w:color w:val="auto"/>
          <w:sz w:val="32"/>
          <w:szCs w:val="32"/>
          <w:lang w:val="en-US" w:eastAsia="zh-CN"/>
        </w:rPr>
        <w:t>负责解释。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第十二条</w:t>
      </w:r>
      <w:r>
        <w:rPr>
          <w:rFonts w:hint="eastAsia" w:ascii="仿宋_GB2312" w:hAnsi="仿宋_GB2312" w:eastAsia="仿宋_GB2312" w:cs="仿宋_GB2312"/>
          <w:color w:val="auto"/>
          <w:sz w:val="32"/>
          <w:szCs w:val="32"/>
          <w:lang w:val="en-US" w:eastAsia="zh-CN"/>
        </w:rPr>
        <w:t xml:space="preserve"> 本办法自2025年2月5日起施行。原《淄博市公共资源交易中心社会中介机构不良行为记录公示办法》（</w:t>
      </w:r>
      <w:r>
        <w:rPr>
          <w:rFonts w:hint="eastAsia" w:eastAsia="仿宋_GB2312"/>
          <w:b w:val="0"/>
          <w:bCs w:val="0"/>
          <w:sz w:val="32"/>
          <w:szCs w:val="32"/>
        </w:rPr>
        <w:t>淄资交易</w:t>
      </w:r>
      <w:r>
        <w:rPr>
          <w:rFonts w:hint="eastAsia" w:eastAsia="仿宋_GB2312"/>
          <w:b w:val="0"/>
          <w:bCs w:val="0"/>
          <w:sz w:val="32"/>
          <w:szCs w:val="32"/>
          <w:lang w:val="en-US" w:eastAsia="zh-CN"/>
        </w:rPr>
        <w:t>发</w:t>
      </w:r>
      <w:r>
        <w:rPr>
          <w:rFonts w:hint="eastAsia" w:ascii="仿宋_GB2312" w:eastAsia="仿宋_GB2312"/>
          <w:b w:val="0"/>
          <w:bCs w:val="0"/>
          <w:sz w:val="32"/>
          <w:szCs w:val="32"/>
        </w:rPr>
        <w:t>〔20</w:t>
      </w:r>
      <w:r>
        <w:rPr>
          <w:rFonts w:hint="eastAsia" w:ascii="仿宋_GB2312" w:eastAsia="仿宋_GB2312"/>
          <w:b w:val="0"/>
          <w:bCs w:val="0"/>
          <w:sz w:val="32"/>
          <w:szCs w:val="32"/>
          <w:lang w:val="en-US" w:eastAsia="zh-CN"/>
        </w:rPr>
        <w:t>23</w:t>
      </w:r>
      <w:r>
        <w:rPr>
          <w:rFonts w:hint="eastAsia" w:ascii="仿宋_GB2312" w:eastAsia="仿宋_GB2312"/>
          <w:b w:val="0"/>
          <w:bCs w:val="0"/>
          <w:sz w:val="32"/>
          <w:szCs w:val="32"/>
        </w:rPr>
        <w:t>〕</w:t>
      </w:r>
      <w:r>
        <w:rPr>
          <w:rFonts w:hint="eastAsia" w:ascii="仿宋_GB2312" w:eastAsia="仿宋_GB2312"/>
          <w:b w:val="0"/>
          <w:bCs w:val="0"/>
          <w:sz w:val="32"/>
          <w:szCs w:val="32"/>
          <w:lang w:val="en-US" w:eastAsia="zh-CN"/>
        </w:rPr>
        <w:t>27</w:t>
      </w:r>
      <w:r>
        <w:rPr>
          <w:rFonts w:hint="eastAsia" w:ascii="仿宋_GB2312" w:eastAsia="仿宋_GB2312"/>
          <w:b w:val="0"/>
          <w:bCs w:val="0"/>
          <w:sz w:val="32"/>
          <w:szCs w:val="32"/>
        </w:rPr>
        <w:t>号</w:t>
      </w:r>
      <w:r>
        <w:rPr>
          <w:rFonts w:hint="eastAsia" w:ascii="仿宋_GB2312" w:eastAsia="仿宋_GB2312"/>
          <w:b w:val="0"/>
          <w:bCs w:val="0"/>
          <w:sz w:val="32"/>
          <w:szCs w:val="32"/>
          <w:lang w:eastAsia="zh-CN"/>
        </w:rPr>
        <w:t>）</w:t>
      </w:r>
      <w:r>
        <w:rPr>
          <w:rFonts w:hint="eastAsia" w:ascii="仿宋_GB2312" w:eastAsia="仿宋_GB2312"/>
          <w:b w:val="0"/>
          <w:bCs w:val="0"/>
          <w:sz w:val="32"/>
          <w:szCs w:val="32"/>
          <w:lang w:val="en-US" w:eastAsia="zh-CN"/>
        </w:rPr>
        <w:t>同时废止</w:t>
      </w:r>
      <w:r>
        <w:rPr>
          <w:rFonts w:hint="eastAsia" w:ascii="仿宋_GB2312" w:eastAsia="仿宋_GB2312"/>
          <w:b w:val="0"/>
          <w:bCs w:val="0"/>
          <w:sz w:val="32"/>
          <w:szCs w:val="32"/>
          <w:lang w:eastAsia="zh-CN"/>
        </w:rPr>
        <w:t>。</w:t>
      </w:r>
      <w:r>
        <w:rPr>
          <w:rFonts w:hint="eastAsia" w:ascii="仿宋_GB2312" w:eastAsia="仿宋_GB2312"/>
          <w:b w:val="0"/>
          <w:bCs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left="1598" w:leftChars="304" w:hanging="960" w:hangingChars="300"/>
        <w:textAlignment w:val="auto"/>
        <w:rPr>
          <w:rFonts w:hint="eastAsia" w:ascii="仿宋_GB2312" w:hAnsi="仿宋_GB2312" w:eastAsia="仿宋_GB2312"/>
          <w:color w:val="auto"/>
          <w:sz w:val="32"/>
          <w:highlight w:val="none"/>
          <w:u w:val="none" w:color="auto"/>
          <w:lang w:eastAsia="zh-CN"/>
        </w:rPr>
      </w:pPr>
    </w:p>
    <w:p>
      <w:pPr>
        <w:keepNext w:val="0"/>
        <w:keepLines w:val="0"/>
        <w:pageBreakBefore w:val="0"/>
        <w:kinsoku/>
        <w:wordWrap/>
        <w:overflowPunct/>
        <w:topLinePunct w:val="0"/>
        <w:autoSpaceDE/>
        <w:autoSpaceDN/>
        <w:bidi w:val="0"/>
        <w:adjustRightInd/>
        <w:snapToGrid/>
        <w:spacing w:line="560" w:lineRule="exact"/>
        <w:ind w:left="1598" w:leftChars="304" w:hanging="960" w:hangingChars="300"/>
        <w:textAlignment w:val="auto"/>
        <w:rPr>
          <w:rFonts w:hint="default" w:ascii="仿宋_GB2312" w:hAnsi="仿宋_GB2312" w:eastAsia="仿宋_GB2312"/>
          <w:color w:val="auto"/>
          <w:sz w:val="32"/>
          <w:highlight w:val="none"/>
          <w:u w:val="none" w:color="auto"/>
          <w:lang w:val="en-US" w:eastAsia="zh-CN"/>
        </w:rPr>
      </w:pPr>
      <w:r>
        <w:rPr>
          <w:rFonts w:hint="eastAsia" w:ascii="仿宋_GB2312" w:hAnsi="仿宋_GB2312" w:eastAsia="仿宋_GB2312"/>
          <w:color w:val="auto"/>
          <w:sz w:val="32"/>
          <w:highlight w:val="none"/>
          <w:u w:val="none" w:color="auto"/>
          <w:lang w:eastAsia="zh-CN"/>
        </w:rPr>
        <w:t>附件：</w:t>
      </w:r>
      <w:r>
        <w:rPr>
          <w:rFonts w:hint="eastAsia" w:ascii="仿宋_GB2312" w:hAnsi="仿宋_GB2312" w:eastAsia="仿宋_GB2312"/>
          <w:color w:val="auto"/>
          <w:sz w:val="32"/>
          <w:highlight w:val="none"/>
          <w:u w:val="none" w:color="auto"/>
          <w:lang w:val="en-US" w:eastAsia="zh-CN"/>
        </w:rPr>
        <w:t>1.采购代理机构场内交易不良行为认定标准</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760"/>
        <w:textAlignment w:val="auto"/>
        <w:rPr>
          <w:rFonts w:hint="eastAsia" w:ascii="仿宋_GB2312" w:hAnsi="仿宋_GB2312" w:eastAsia="仿宋_GB2312"/>
          <w:color w:val="auto"/>
          <w:sz w:val="32"/>
          <w:highlight w:val="none"/>
          <w:u w:val="none" w:color="auto"/>
          <w:lang w:val="en-US" w:eastAsia="zh-CN"/>
        </w:rPr>
      </w:pPr>
      <w:r>
        <w:rPr>
          <w:rFonts w:hint="eastAsia" w:ascii="仿宋_GB2312" w:hAnsi="仿宋_GB2312" w:eastAsia="仿宋_GB2312"/>
          <w:color w:val="auto"/>
          <w:sz w:val="32"/>
          <w:highlight w:val="none"/>
          <w:u w:val="none" w:color="auto"/>
          <w:lang w:val="en-US" w:eastAsia="zh-CN"/>
        </w:rPr>
        <w:t>2.招标代理机构场内交易不良行为认定标准</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760"/>
        <w:textAlignment w:val="auto"/>
        <w:rPr>
          <w:rFonts w:hint="eastAsia" w:ascii="仿宋_GB2312" w:hAnsi="仿宋_GB2312" w:eastAsia="仿宋_GB2312"/>
          <w:color w:val="auto"/>
          <w:sz w:val="32"/>
          <w:highlight w:val="none"/>
          <w:u w:val="none" w:color="auto"/>
          <w:lang w:val="en-US" w:eastAsia="zh-CN"/>
        </w:rPr>
      </w:pPr>
      <w:r>
        <w:rPr>
          <w:rFonts w:hint="eastAsia" w:ascii="仿宋_GB2312" w:hAnsi="仿宋_GB2312" w:eastAsia="仿宋_GB2312"/>
          <w:color w:val="auto"/>
          <w:sz w:val="32"/>
          <w:highlight w:val="none"/>
          <w:u w:val="none" w:color="auto"/>
          <w:lang w:val="en-US" w:eastAsia="zh-CN"/>
        </w:rPr>
        <w:t>3.淄博市公共资源交易中心见证不良行为函告单（模板）</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76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olor w:val="auto"/>
          <w:sz w:val="32"/>
          <w:highlight w:val="none"/>
          <w:u w:val="none" w:color="auto"/>
          <w:lang w:val="en-US" w:eastAsia="zh-CN"/>
        </w:rPr>
        <w:t>淄博市公共资源交易中心见证不良行为抄告单（模板）</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76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5.淄博市公共资源交易中心社会中介机构不良行为记录通知单</w:t>
      </w:r>
    </w:p>
    <w:p>
      <w:pPr>
        <w:keepNext w:val="0"/>
        <w:keepLines w:val="0"/>
        <w:pageBreakBefore w:val="0"/>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olor w:val="auto"/>
          <w:sz w:val="32"/>
          <w:highlight w:val="none"/>
          <w:u w:val="none" w:color="auto"/>
          <w:lang w:val="en-US" w:eastAsia="zh-CN"/>
        </w:rPr>
      </w:pPr>
      <w:r>
        <w:rPr>
          <w:rFonts w:hint="eastAsia" w:ascii="仿宋_GB2312" w:hAnsi="仿宋_GB2312" w:eastAsia="仿宋_GB2312"/>
          <w:color w:val="auto"/>
          <w:sz w:val="32"/>
          <w:highlight w:val="none"/>
          <w:u w:val="none" w:color="auto"/>
          <w:lang w:val="en-US" w:eastAsia="zh-CN"/>
        </w:rPr>
        <w:t>6.淄博市公共资源交易中心不良行为记录业务流转示意图</w:t>
      </w:r>
    </w:p>
    <w:p>
      <w:pPr>
        <w:keepNext w:val="0"/>
        <w:keepLines w:val="0"/>
        <w:pageBreakBefore w:val="0"/>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olor w:val="auto"/>
          <w:sz w:val="32"/>
          <w:highlight w:val="none"/>
          <w:u w:val="none" w:color="auto"/>
          <w:lang w:val="en-US" w:eastAsia="zh-CN"/>
        </w:rPr>
      </w:pPr>
    </w:p>
    <w:p>
      <w:pPr>
        <w:keepNext w:val="0"/>
        <w:keepLines w:val="0"/>
        <w:pageBreakBefore w:val="0"/>
        <w:kinsoku/>
        <w:wordWrap/>
        <w:overflowPunct/>
        <w:topLinePunct w:val="0"/>
        <w:autoSpaceDE/>
        <w:autoSpaceDN/>
        <w:bidi w:val="0"/>
        <w:adjustRightInd/>
        <w:snapToGrid/>
        <w:spacing w:line="560" w:lineRule="exact"/>
        <w:ind w:left="1596" w:leftChars="760" w:firstLine="0" w:firstLineChars="0"/>
        <w:textAlignment w:val="auto"/>
        <w:rPr>
          <w:rFonts w:hint="eastAsia" w:ascii="仿宋_GB2312" w:hAnsi="仿宋_GB2312" w:eastAsia="仿宋_GB2312"/>
          <w:color w:val="auto"/>
          <w:sz w:val="32"/>
          <w:highlight w:val="none"/>
          <w:u w:val="none" w:color="auto"/>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olor w:val="auto"/>
          <w:sz w:val="32"/>
          <w:highlight w:val="none"/>
          <w:u w:val="none" w:color="auto"/>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olor w:val="auto"/>
          <w:sz w:val="32"/>
          <w:highlight w:val="none"/>
          <w:u w:val="none" w:color="auto"/>
          <w:lang w:val="en-US" w:eastAsia="zh-CN"/>
        </w:rPr>
      </w:pPr>
    </w:p>
    <w:tbl>
      <w:tblPr>
        <w:tblStyle w:val="6"/>
        <w:tblW w:w="9171" w:type="dxa"/>
        <w:jc w:val="center"/>
        <w:shd w:val="clear" w:color="auto" w:fill="auto"/>
        <w:tblLayout w:type="fixed"/>
        <w:tblCellMar>
          <w:top w:w="0" w:type="dxa"/>
          <w:left w:w="0" w:type="dxa"/>
          <w:bottom w:w="0" w:type="dxa"/>
          <w:right w:w="0" w:type="dxa"/>
        </w:tblCellMar>
      </w:tblPr>
      <w:tblGrid>
        <w:gridCol w:w="705"/>
        <w:gridCol w:w="1080"/>
        <w:gridCol w:w="5065"/>
        <w:gridCol w:w="1066"/>
        <w:gridCol w:w="1102"/>
        <w:gridCol w:w="153"/>
      </w:tblGrid>
      <w:tr>
        <w:tblPrEx>
          <w:shd w:val="clear" w:color="auto" w:fill="auto"/>
          <w:tblCellMar>
            <w:top w:w="0" w:type="dxa"/>
            <w:left w:w="0" w:type="dxa"/>
            <w:bottom w:w="0" w:type="dxa"/>
            <w:right w:w="0" w:type="dxa"/>
          </w:tblCellMar>
        </w:tblPrEx>
        <w:trPr>
          <w:gridAfter w:val="1"/>
          <w:wAfter w:w="153" w:type="dxa"/>
          <w:trHeight w:val="660" w:hRule="atLeast"/>
          <w:jc w:val="center"/>
        </w:trPr>
        <w:tc>
          <w:tcPr>
            <w:tcW w:w="6850" w:type="dxa"/>
            <w:gridSpan w:val="3"/>
            <w:tcBorders>
              <w:top w:val="nil"/>
              <w:left w:val="nil"/>
              <w:bottom w:val="nil"/>
              <w:right w:val="nil"/>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r>
              <w:rPr>
                <w:rFonts w:hint="eastAsia" w:ascii="黑体" w:hAnsi="黑体" w:eastAsia="黑体" w:cs="黑体"/>
                <w:color w:val="auto"/>
                <w:kern w:val="2"/>
                <w:sz w:val="32"/>
                <w:szCs w:val="32"/>
                <w:lang w:val="en-US" w:eastAsia="zh-CN" w:bidi="ar-SA"/>
              </w:rPr>
              <w:t>附件1</w:t>
            </w:r>
          </w:p>
        </w:tc>
        <w:tc>
          <w:tcPr>
            <w:tcW w:w="106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10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4"/>
                <w:szCs w:val="24"/>
                <w:u w:val="none"/>
              </w:rPr>
            </w:pPr>
          </w:p>
        </w:tc>
      </w:tr>
      <w:tr>
        <w:tblPrEx>
          <w:shd w:val="clear" w:color="auto" w:fill="auto"/>
          <w:tblCellMar>
            <w:top w:w="0" w:type="dxa"/>
            <w:left w:w="0" w:type="dxa"/>
            <w:bottom w:w="0" w:type="dxa"/>
            <w:right w:w="0" w:type="dxa"/>
          </w:tblCellMar>
        </w:tblPrEx>
        <w:trPr>
          <w:gridAfter w:val="1"/>
          <w:wAfter w:w="153" w:type="dxa"/>
          <w:trHeight w:val="780" w:hRule="atLeast"/>
          <w:jc w:val="center"/>
        </w:trPr>
        <w:tc>
          <w:tcPr>
            <w:tcW w:w="9018"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bidi="ar"/>
              </w:rPr>
              <w:t>采购代理机构场内交易不良行为认定标准</w:t>
            </w:r>
          </w:p>
        </w:tc>
      </w:tr>
      <w:tr>
        <w:tblPrEx>
          <w:shd w:val="clear" w:color="auto" w:fill="auto"/>
          <w:tblCellMar>
            <w:top w:w="0" w:type="dxa"/>
            <w:left w:w="0" w:type="dxa"/>
            <w:bottom w:w="0" w:type="dxa"/>
            <w:right w:w="0" w:type="dxa"/>
          </w:tblCellMar>
        </w:tblPrEx>
        <w:trPr>
          <w:gridAfter w:val="1"/>
          <w:wAfter w:w="153" w:type="dxa"/>
          <w:trHeight w:val="7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认定标准</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等级</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1</w:t>
            </w:r>
          </w:p>
        </w:tc>
        <w:tc>
          <w:tcPr>
            <w:tcW w:w="108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项目进场环节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rPr>
                <w:rFonts w:hint="eastAsia" w:ascii="仿宋_GB2312" w:hAnsi="仿宋_GB2312" w:eastAsia="仿宋_GB2312" w:cs="仿宋_GB2312"/>
                <w:i w:val="0"/>
                <w:color w:val="000000"/>
                <w:sz w:val="24"/>
                <w:szCs w:val="24"/>
                <w:highlight w:val="yellow"/>
                <w:u w:val="none"/>
              </w:rPr>
            </w:pPr>
            <w:r>
              <w:rPr>
                <w:rFonts w:hint="eastAsia" w:ascii="仿宋_GB2312" w:hAnsi="仿宋_GB2312" w:eastAsia="仿宋_GB2312" w:cs="仿宋_GB2312"/>
                <w:b w:val="0"/>
                <w:i w:val="0"/>
                <w:snapToGrid/>
                <w:color w:val="auto"/>
                <w:sz w:val="24"/>
                <w:szCs w:val="24"/>
                <w:highlight w:val="none"/>
                <w:u w:val="none"/>
                <w:lang w:val="en-US" w:eastAsia="zh-CN"/>
              </w:rPr>
              <w:t>采购代理机构人员未在淄博市公共资源交易平台</w:t>
            </w:r>
            <w:r>
              <w:rPr>
                <w:rFonts w:hint="eastAsia" w:ascii="仿宋_GB2312" w:hAnsi="仿宋_GB2312" w:eastAsia="仿宋_GB2312" w:cs="仿宋_GB2312"/>
                <w:b w:val="0"/>
                <w:i w:val="0"/>
                <w:strike w:val="0"/>
                <w:dstrike w:val="0"/>
                <w:snapToGrid/>
                <w:color w:val="auto"/>
                <w:sz w:val="24"/>
                <w:szCs w:val="24"/>
                <w:highlight w:val="none"/>
                <w:u w:val="none"/>
                <w:lang w:val="en-US" w:eastAsia="zh-CN"/>
              </w:rPr>
              <w:t>登记、注册信息的；或者信息</w:t>
            </w:r>
            <w:r>
              <w:rPr>
                <w:rFonts w:hint="eastAsia" w:ascii="仿宋_GB2312" w:hAnsi="仿宋_GB2312" w:eastAsia="仿宋_GB2312" w:cs="仿宋_GB2312"/>
                <w:b w:val="0"/>
                <w:i w:val="0"/>
                <w:snapToGrid/>
                <w:color w:val="auto"/>
                <w:sz w:val="24"/>
                <w:szCs w:val="24"/>
                <w:highlight w:val="none"/>
                <w:u w:val="none"/>
                <w:lang w:val="en-US" w:eastAsia="zh-CN"/>
              </w:rPr>
              <w:t>发生变更，未及时变更登记、注册信息的；</w:t>
            </w:r>
            <w:r>
              <w:rPr>
                <w:rFonts w:hint="eastAsia" w:ascii="仿宋_GB2312" w:hAnsi="仿宋_GB2312" w:eastAsia="仿宋_GB2312" w:cs="仿宋_GB2312"/>
                <w:b w:val="0"/>
                <w:i w:val="0"/>
                <w:strike w:val="0"/>
                <w:dstrike w:val="0"/>
                <w:snapToGrid/>
                <w:color w:val="auto"/>
                <w:sz w:val="24"/>
                <w:szCs w:val="24"/>
                <w:highlight w:val="none"/>
                <w:u w:val="none"/>
                <w:lang w:val="en-US" w:eastAsia="zh-CN"/>
              </w:rPr>
              <w:t>或者登记、注册信息弄虚作假的。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yellow"/>
                <w:u w:val="none"/>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b/>
                <w:i w:val="0"/>
                <w:color w:val="000000"/>
                <w:sz w:val="21"/>
                <w:szCs w:val="21"/>
                <w:highlight w:val="yellow"/>
                <w:u w:val="none"/>
                <w:lang w:val="en-US"/>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2</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未按照《山东省公共资源交易目录》要求进入交易中心交易的；无权代理、越权代理，明知委托事项违法仍然进场交易的。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94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w:t>
            </w:r>
          </w:p>
        </w:tc>
        <w:tc>
          <w:tcPr>
            <w:tcW w:w="108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sz w:val="24"/>
                <w:szCs w:val="24"/>
                <w:lang w:val="en-US" w:eastAsia="zh-CN"/>
              </w:rPr>
              <w:t>因采购代理机构自身原因导致标包划分有误或录入标包信息错误，导致系统回退或项目终止影响项目进度的。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firstLine="240" w:firstLineChars="100"/>
              <w:jc w:val="both"/>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ind w:firstLine="210" w:firstLineChars="100"/>
              <w:jc w:val="both"/>
              <w:rPr>
                <w:rFonts w:hint="eastAsia" w:ascii="仿宋_GB2312" w:hAnsi="仿宋_GB2312" w:eastAsia="仿宋_GB2312" w:cs="仿宋_GB2312"/>
                <w:i w:val="0"/>
                <w:color w:val="000000"/>
                <w:sz w:val="21"/>
                <w:szCs w:val="21"/>
                <w:highlight w:val="none"/>
                <w:u w:val="none"/>
                <w:lang w:val="en-US" w:eastAsia="zh-CN"/>
              </w:rPr>
            </w:pPr>
          </w:p>
        </w:tc>
      </w:tr>
      <w:tr>
        <w:tblPrEx>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场地预约环节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未使用随机抽取程序自主确定远程异地项目评标副场的。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i w:val="0"/>
                <w:color w:val="000000"/>
                <w:sz w:val="21"/>
                <w:szCs w:val="21"/>
                <w:highlight w:val="none"/>
                <w:u w:val="none"/>
                <w:lang w:val="en-US"/>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5</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val="0"/>
                <w:i w:val="0"/>
                <w:snapToGrid/>
                <w:color w:val="auto"/>
                <w:sz w:val="24"/>
                <w:szCs w:val="24"/>
                <w:highlight w:val="none"/>
                <w:u w:val="none"/>
                <w:lang w:val="en-US" w:eastAsia="zh-CN"/>
              </w:rPr>
              <w:t>未按照有关文件要求预约远程异地场地的和填报抽取信息的。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i w:val="0"/>
                <w:color w:val="000000"/>
                <w:sz w:val="21"/>
                <w:szCs w:val="21"/>
                <w:highlight w:val="none"/>
                <w:u w:val="none"/>
                <w:lang w:val="en-US"/>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未按照《关于扩大政府采购远程异地评审实施范围的通知》</w:t>
            </w:r>
            <w:r>
              <w:rPr>
                <w:rFonts w:hint="eastAsia" w:ascii="仿宋_GB2312" w:hAnsi="仿宋_GB2312" w:eastAsia="仿宋_GB2312" w:cs="仿宋_GB2312"/>
                <w:i w:val="0"/>
                <w:strike w:val="0"/>
                <w:dstrike w:val="0"/>
                <w:color w:val="000000"/>
                <w:kern w:val="0"/>
                <w:sz w:val="24"/>
                <w:szCs w:val="24"/>
                <w:highlight w:val="none"/>
                <w:u w:val="none"/>
                <w:lang w:val="en-US" w:eastAsia="zh-CN" w:bidi="ar"/>
              </w:rPr>
              <w:t>要求组织采购的</w:t>
            </w:r>
            <w:r>
              <w:rPr>
                <w:rFonts w:hint="eastAsia" w:ascii="仿宋_GB2312" w:hAnsi="仿宋_GB2312" w:eastAsia="仿宋_GB2312" w:cs="仿宋_GB2312"/>
                <w:i w:val="0"/>
                <w:color w:val="000000"/>
                <w:kern w:val="0"/>
                <w:sz w:val="24"/>
                <w:szCs w:val="24"/>
                <w:highlight w:val="none"/>
                <w:u w:val="none"/>
                <w:lang w:val="en-US" w:eastAsia="zh-CN" w:bidi="ar"/>
              </w:rPr>
              <w:t>。</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7</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信息发布环节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未按照《政府采购公告和公示信息格式规范（2020年版）》编制公告信息的。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8</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公告及文件中存在泄露国家秘密、商业秘密及个人隐私信息的；有虚假和误导性陈述或遗漏依法必须公开的事项的；出现错字、漏字、别字、重字等问题被相关部门检测通报的。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存在以不合理的条件对供应商实行差别待遇、歧视待遇等违法违规情形的；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未按法定时间发布的；无正当理由延迟发布、拒绝发布或在发布过程中弄虚作假的。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104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在不同媒介发布的同一公告信息内容不一致影响潜在投标人（供应商）资格预审或者投标的；</w:t>
            </w:r>
            <w:r>
              <w:rPr>
                <w:rFonts w:hint="eastAsia" w:ascii="仿宋_GB2312" w:hAnsi="仿宋_GB2312" w:eastAsia="仿宋_GB2312" w:cs="仿宋_GB2312"/>
                <w:i w:val="0"/>
                <w:strike w:val="0"/>
                <w:dstrike w:val="0"/>
                <w:color w:val="000000"/>
                <w:kern w:val="0"/>
                <w:sz w:val="24"/>
                <w:szCs w:val="24"/>
                <w:highlight w:val="none"/>
                <w:u w:val="none"/>
                <w:lang w:val="en-US" w:eastAsia="zh-CN" w:bidi="ar"/>
              </w:rPr>
              <w:t>未按照有关规定在指定媒体上发布政府采购信息的</w:t>
            </w:r>
            <w:r>
              <w:rPr>
                <w:rFonts w:hint="eastAsia" w:ascii="仿宋_GB2312" w:hAnsi="仿宋_GB2312" w:eastAsia="仿宋_GB2312" w:cs="仿宋_GB2312"/>
                <w:i w:val="0"/>
                <w:color w:val="000000"/>
                <w:kern w:val="0"/>
                <w:sz w:val="24"/>
                <w:szCs w:val="24"/>
                <w:highlight w:val="none"/>
                <w:u w:val="none"/>
                <w:lang w:val="en-US" w:eastAsia="zh-CN" w:bidi="ar"/>
              </w:rPr>
              <w:t>。</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104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在采购文件中拒绝或限制投标人（供应商）自主选择支票、汇票、本票、保函等非现金形式缴纳投标（磋商）保证金的。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u w:val="none"/>
              </w:rPr>
            </w:pPr>
          </w:p>
        </w:tc>
      </w:tr>
      <w:tr>
        <w:tblPrEx>
          <w:shd w:val="clear" w:color="auto" w:fill="auto"/>
          <w:tblCellMar>
            <w:top w:w="0" w:type="dxa"/>
            <w:left w:w="0" w:type="dxa"/>
            <w:bottom w:w="0" w:type="dxa"/>
            <w:right w:w="0" w:type="dxa"/>
          </w:tblCellMar>
        </w:tblPrEx>
        <w:trPr>
          <w:gridAfter w:val="1"/>
          <w:wAfter w:w="153" w:type="dxa"/>
          <w:trHeight w:val="629"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13</w:t>
            </w:r>
          </w:p>
        </w:tc>
        <w:tc>
          <w:tcPr>
            <w:tcW w:w="1080" w:type="dxa"/>
            <w:vMerge w:val="restart"/>
            <w:tcBorders>
              <w:top w:val="nil"/>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抽取评标评审专家环节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4"/>
                <w:szCs w:val="24"/>
                <w:u w:val="none"/>
                <w:lang w:val="en-US"/>
              </w:rPr>
            </w:pPr>
            <w:r>
              <w:rPr>
                <w:rFonts w:hint="eastAsia" w:ascii="仿宋_GB2312" w:hAnsi="仿宋_GB2312" w:eastAsia="仿宋_GB2312" w:cs="仿宋_GB2312"/>
                <w:i w:val="0"/>
                <w:color w:val="000000"/>
                <w:kern w:val="0"/>
                <w:sz w:val="24"/>
                <w:szCs w:val="24"/>
                <w:highlight w:val="none"/>
                <w:u w:val="none"/>
                <w:lang w:val="en-US" w:eastAsia="zh-CN" w:bidi="ar"/>
              </w:rPr>
              <w:t>未在开标前对评审专家请假情形及时发现并补抽的。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仿宋_GB2312" w:hAnsi="仿宋_GB2312" w:eastAsia="仿宋_GB2312" w:cs="仿宋_GB2312"/>
                <w:i w:val="0"/>
                <w:color w:val="000000"/>
                <w:sz w:val="21"/>
                <w:szCs w:val="21"/>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14</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因未及时对项目评审专家履职情况进行系统评价，导致无法正常抽取专家的。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15</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未合理确定评审所需的专家专业、人数、回避信息的。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16</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未依法从政府采购评审专家库中抽取评审专家的。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17</w:t>
            </w:r>
          </w:p>
        </w:tc>
        <w:tc>
          <w:tcPr>
            <w:tcW w:w="108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sz w:val="24"/>
                <w:szCs w:val="24"/>
              </w:rPr>
              <w:t>违规抽取评标评审专家，造成严重后果的</w:t>
            </w:r>
            <w:r>
              <w:rPr>
                <w:rFonts w:hint="eastAsia" w:ascii="仿宋_GB2312" w:hAnsi="仿宋_GB2312" w:eastAsia="仿宋_GB2312" w:cs="仿宋_GB2312"/>
                <w:i w:val="0"/>
                <w:strike w:val="0"/>
                <w:dstrike w:val="0"/>
                <w:color w:val="000000"/>
                <w:kern w:val="0"/>
                <w:sz w:val="24"/>
                <w:szCs w:val="24"/>
                <w:u w:val="none"/>
                <w:lang w:val="en-US" w:eastAsia="zh-CN" w:bidi="ar"/>
              </w:rPr>
              <w:t>。</w:t>
            </w:r>
          </w:p>
        </w:tc>
        <w:tc>
          <w:tcPr>
            <w:tcW w:w="106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sz w:val="24"/>
                <w:szCs w:val="24"/>
                <w:u w:val="none"/>
                <w:lang w:val="en-US" w:eastAsia="zh-CN"/>
              </w:rPr>
              <w:t>严重</w:t>
            </w:r>
          </w:p>
        </w:tc>
        <w:tc>
          <w:tcPr>
            <w:tcW w:w="1102"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18</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开评标环节</w:t>
            </w:r>
          </w:p>
        </w:tc>
        <w:tc>
          <w:tcPr>
            <w:tcW w:w="50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未在评审前宣布评审工作纪律和程序的。</w:t>
            </w:r>
          </w:p>
        </w:tc>
        <w:tc>
          <w:tcPr>
            <w:tcW w:w="106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19</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不同采购代理机构之间相互借用人员或冒名顶替参与开评标的。</w:t>
            </w:r>
          </w:p>
        </w:tc>
        <w:tc>
          <w:tcPr>
            <w:tcW w:w="106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20</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开评标过程中，存在迟到、早退、擅离职守情形，影响开评标活动有序开展的。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21</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不服从交易中心现场工作人员（见证人员）管理，扰乱现场秩序的；评审结束后无正当理由阻扰评审专家离开评标室的。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22</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进入评标区未按要求存放手机、蓝牙耳机、电子手表等通讯工具及相关电子设备的。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23</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评标委员会发现采购文件存在歧义、重大缺陷导致评标工作无法进行或采购文件内容违反国家有关强制性规定，应当停止评标工作但被阻扰的。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509"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24</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未核对评审专家身份和采购人代表授权函的。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25</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与供应商存在利害关系应当回避而未回避；应告知评审专家应当回避情形而未告知的。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26</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未按规定对评审结果进行复核；复核发现存在或应当发现符合规定应当修改评审结果的情形而未修改的。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27</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未通过“信用中国”和“中国政府采购网”对供应商的失信被执行人、重大税收违法案件当事人名单、严重违法失信行为等信息进行现场查询确认的。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8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28</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未按照《关于开展政府采购去标识化评审试点工作的通知》实施盲审的。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132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29</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向专家作倾向性、误导性的解释或者说明的；未及时制止和纠正采购人代表、专家的倾向性言论或应发现而未发现评审专家、供应商违法违规行为的或发现后未及时向采购人本级财政部门报告的。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98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30</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因采购代理机构对专家补抽流程不熟悉或操作失误，造成评标进程延误的。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31</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未按照招标（采购）文件规定的时间、地点组织开标的。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32</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em w:val="dot"/>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开评前或开评标过程中擅自修改招标文件或评分标准的。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33</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未按法律法规组织开评标或对交易系统不熟悉，导致无法组织开评标的。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34</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非法干预采购评审活动的；与采购人、供应商、评审专家恶意串通，操纵政府采购活动的。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9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35</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在场内交易过程中接受贿赂或者获取其它不正当利益的。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36</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向他人透露投标人（供应商）投标信息及可能影响公平竞争等其他情况的；泄露应当保密的与采购活动有关的情况和资料的。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37</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未监督并及时提醒评标委员会（评审小组）依法按照采购文件规定的评标程序、方法和标准进行独立评审的。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38</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对供应商的询问、质疑逾期未作处理，影响项目开评标的。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39</w:t>
            </w:r>
          </w:p>
        </w:tc>
        <w:tc>
          <w:tcPr>
            <w:tcW w:w="108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不符合重新评审条件执意重新评审的；需要重新评审的项目，未按照规定组织实施的。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40</w:t>
            </w:r>
          </w:p>
        </w:tc>
        <w:tc>
          <w:tcPr>
            <w:tcW w:w="1080" w:type="dxa"/>
            <w:vMerge w:val="restart"/>
            <w:tcBorders>
              <w:top w:val="single" w:color="auto"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标后环节</w:t>
            </w: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项目结束后未按规定上传相关资料，影响档案完整性的。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lang w:val="en-US"/>
              </w:rPr>
            </w:pPr>
            <w:r>
              <w:rPr>
                <w:rFonts w:hint="eastAsia" w:ascii="仿宋_GB2312" w:hAnsi="仿宋_GB2312" w:eastAsia="仿宋_GB2312" w:cs="仿宋_GB2312"/>
                <w:i w:val="0"/>
                <w:strike w:val="0"/>
                <w:dstrike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41</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泄露评审情况以及评审过程中获悉的国家秘密、商业秘密的。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highlight w:val="none"/>
                <w:u w:val="none"/>
              </w:rPr>
            </w:pPr>
            <w:r>
              <w:rPr>
                <w:rFonts w:hint="eastAsia" w:ascii="仿宋_GB2312" w:hAnsi="仿宋_GB2312" w:eastAsia="仿宋_GB2312" w:cs="仿宋_GB2312"/>
                <w:i w:val="0"/>
                <w:color w:val="000000"/>
                <w:kern w:val="0"/>
                <w:sz w:val="24"/>
                <w:szCs w:val="24"/>
                <w:highlight w:val="none"/>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highlight w:val="none"/>
                <w:u w:val="none"/>
              </w:rPr>
            </w:pPr>
          </w:p>
        </w:tc>
      </w:tr>
      <w:tr>
        <w:tblPrEx>
          <w:shd w:val="clear" w:color="auto" w:fill="auto"/>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42</w:t>
            </w:r>
          </w:p>
        </w:tc>
        <w:tc>
          <w:tcPr>
            <w:tcW w:w="108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不配合相关部门对交易活动开展调查核实的或者在调查核实过程中弄虚作假、隐瞒真相的。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仿宋_GB2312" w:hAnsi="仿宋_GB2312" w:eastAsia="仿宋_GB2312" w:cs="仿宋_GB2312"/>
                <w:i w:val="0"/>
                <w:color w:val="000000"/>
                <w:sz w:val="21"/>
                <w:szCs w:val="21"/>
                <w:u w:val="none"/>
              </w:rPr>
            </w:pPr>
          </w:p>
        </w:tc>
      </w:tr>
      <w:tr>
        <w:tblPrEx>
          <w:shd w:val="clear" w:color="auto" w:fill="auto"/>
          <w:tblCellMar>
            <w:top w:w="0" w:type="dxa"/>
            <w:left w:w="0" w:type="dxa"/>
            <w:bottom w:w="0" w:type="dxa"/>
            <w:right w:w="0" w:type="dxa"/>
          </w:tblCellMar>
        </w:tblPrEx>
        <w:trPr>
          <w:gridAfter w:val="1"/>
          <w:wAfter w:w="153" w:type="dxa"/>
          <w:trHeight w:val="956"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43</w:t>
            </w:r>
          </w:p>
        </w:tc>
        <w:tc>
          <w:tcPr>
            <w:tcW w:w="1080" w:type="dxa"/>
            <w:vMerge w:val="restart"/>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其他事项</w:t>
            </w:r>
          </w:p>
        </w:tc>
        <w:tc>
          <w:tcPr>
            <w:tcW w:w="50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strike w:val="0"/>
                <w:color w:val="000000"/>
                <w:kern w:val="0"/>
                <w:sz w:val="24"/>
                <w:szCs w:val="24"/>
                <w:highlight w:val="none"/>
                <w:u w:val="none"/>
                <w:lang w:val="en-US" w:eastAsia="zh-CN" w:bidi="ar"/>
              </w:rPr>
            </w:pPr>
            <w:r>
              <w:rPr>
                <w:rFonts w:hint="eastAsia" w:ascii="仿宋_GB2312" w:hAnsi="仿宋_GB2312" w:eastAsia="仿宋_GB2312" w:cs="仿宋_GB2312"/>
                <w:i w:val="0"/>
                <w:strike w:val="0"/>
                <w:dstrike w:val="0"/>
                <w:color w:val="000000"/>
                <w:kern w:val="0"/>
                <w:sz w:val="24"/>
                <w:szCs w:val="24"/>
                <w:highlight w:val="none"/>
                <w:u w:val="none"/>
                <w:lang w:val="en-US" w:eastAsia="zh-CN" w:bidi="ar"/>
              </w:rPr>
              <w:t>对监督部门、交易中心工作人员进行辱骂等人身攻击行为的；</w:t>
            </w:r>
            <w:r>
              <w:rPr>
                <w:rFonts w:hint="eastAsia" w:ascii="仿宋_GB2312" w:hAnsi="仿宋_GB2312" w:eastAsia="仿宋_GB2312" w:cs="仿宋_GB2312"/>
                <w:i w:val="0"/>
                <w:strike w:val="0"/>
                <w:dstrike w:val="0"/>
                <w:color w:val="000000"/>
                <w:kern w:val="0"/>
                <w:sz w:val="24"/>
                <w:szCs w:val="24"/>
                <w:u w:val="none"/>
                <w:lang w:val="en-US" w:eastAsia="zh-CN" w:bidi="ar"/>
              </w:rPr>
              <w:t>故意毁坏现场设施设备的。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4"/>
                <w:szCs w:val="24"/>
                <w:highlight w:val="none"/>
                <w:u w:val="none"/>
                <w:lang w:val="en-US" w:eastAsia="zh-CN" w:bidi="ar"/>
              </w:rPr>
            </w:pPr>
            <w:r>
              <w:rPr>
                <w:rFonts w:hint="eastAsia" w:ascii="仿宋_GB2312" w:hAnsi="仿宋_GB2312" w:eastAsia="仿宋_GB2312" w:cs="仿宋_GB2312"/>
                <w:i w:val="0"/>
                <w:color w:val="000000"/>
                <w:kern w:val="0"/>
                <w:sz w:val="24"/>
                <w:szCs w:val="24"/>
                <w:highlight w:val="none"/>
                <w:u w:val="none"/>
                <w:lang w:val="en-US" w:eastAsia="zh-CN" w:bidi="ar"/>
              </w:rPr>
              <w:t>轻微</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仿宋_GB2312" w:hAnsi="仿宋_GB2312" w:eastAsia="仿宋_GB2312" w:cs="仿宋_GB2312"/>
                <w:i w:val="0"/>
                <w:color w:val="000000"/>
                <w:sz w:val="21"/>
                <w:szCs w:val="21"/>
                <w:highlight w:val="none"/>
                <w:u w:val="none"/>
                <w:lang w:val="en-US" w:eastAsia="zh-CN"/>
              </w:rPr>
            </w:pPr>
          </w:p>
        </w:tc>
      </w:tr>
      <w:tr>
        <w:tblPrEx>
          <w:shd w:val="clear" w:color="auto" w:fill="auto"/>
          <w:tblCellMar>
            <w:top w:w="0" w:type="dxa"/>
            <w:left w:w="0" w:type="dxa"/>
            <w:bottom w:w="0" w:type="dxa"/>
            <w:right w:w="0" w:type="dxa"/>
          </w:tblCellMar>
        </w:tblPrEx>
        <w:trPr>
          <w:gridAfter w:val="1"/>
          <w:wAfter w:w="153" w:type="dxa"/>
          <w:trHeight w:val="122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44</w:t>
            </w:r>
          </w:p>
        </w:tc>
        <w:tc>
          <w:tcPr>
            <w:tcW w:w="108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strike w:val="0"/>
                <w:dstrike w:val="0"/>
                <w:color w:val="000000"/>
                <w:kern w:val="0"/>
                <w:sz w:val="24"/>
                <w:szCs w:val="24"/>
                <w:u w:val="none"/>
                <w:lang w:val="en-US" w:eastAsia="zh-CN" w:bidi="ar"/>
              </w:rPr>
              <w:t>因采购代理机构原因，在项目注册、信息发布等环节系统回退2次及以上或开评标系统回退影响项目正常开评标的（不可抗力因素除外）。</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一般</w:t>
            </w:r>
          </w:p>
        </w:tc>
        <w:tc>
          <w:tcPr>
            <w:tcW w:w="11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20" w:firstLineChars="200"/>
              <w:jc w:val="both"/>
              <w:rPr>
                <w:rFonts w:hint="eastAsia" w:ascii="仿宋_GB2312" w:hAnsi="仿宋_GB2312" w:eastAsia="仿宋_GB2312" w:cs="仿宋_GB2312"/>
                <w:i w:val="0"/>
                <w:color w:val="000000"/>
                <w:sz w:val="21"/>
                <w:szCs w:val="21"/>
                <w:u w:val="none"/>
              </w:rPr>
            </w:pPr>
          </w:p>
        </w:tc>
      </w:tr>
      <w:tr>
        <w:tblPrEx>
          <w:tblCellMar>
            <w:top w:w="0" w:type="dxa"/>
            <w:left w:w="0" w:type="dxa"/>
            <w:bottom w:w="0" w:type="dxa"/>
            <w:right w:w="0" w:type="dxa"/>
          </w:tblCellMar>
        </w:tblPrEx>
        <w:trPr>
          <w:gridAfter w:val="1"/>
          <w:wAfter w:w="153" w:type="dxa"/>
          <w:trHeight w:val="800" w:hRule="atLeast"/>
          <w:jc w:val="center"/>
        </w:trPr>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rPr>
            </w:pPr>
            <w:r>
              <w:rPr>
                <w:rFonts w:hint="eastAsia" w:ascii="仿宋_GB2312" w:hAnsi="宋体" w:eastAsia="仿宋_GB2312" w:cs="仿宋_GB2312"/>
                <w:i w:val="0"/>
                <w:color w:val="000000"/>
                <w:kern w:val="0"/>
                <w:sz w:val="22"/>
                <w:szCs w:val="22"/>
                <w:u w:val="none"/>
                <w:lang w:val="en-US" w:eastAsia="zh-CN" w:bidi="ar"/>
              </w:rPr>
              <w:t>45</w:t>
            </w:r>
          </w:p>
        </w:tc>
        <w:tc>
          <w:tcPr>
            <w:tcW w:w="108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24"/>
                <w:szCs w:val="24"/>
                <w:u w:val="none"/>
              </w:rPr>
            </w:pPr>
          </w:p>
        </w:tc>
        <w:tc>
          <w:tcPr>
            <w:tcW w:w="506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存在违反《中华人民共和国政府采购法》及其实施条例、《政府采购信息发布管理办法》、《山东省政府采购代理机构管理实施办法》等法律法规规定的其他情形；未执行财政部门相关政策要求、交易中心管理规定其他情形的。</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严重</w:t>
            </w:r>
          </w:p>
        </w:tc>
        <w:tc>
          <w:tcPr>
            <w:tcW w:w="11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20" w:firstLineChars="200"/>
              <w:jc w:val="left"/>
              <w:rPr>
                <w:rFonts w:hint="eastAsia" w:ascii="仿宋_GB2312" w:hAnsi="仿宋_GB2312" w:eastAsia="仿宋_GB2312" w:cs="仿宋_GB2312"/>
                <w:i w:val="0"/>
                <w:color w:val="000000"/>
                <w:sz w:val="21"/>
                <w:szCs w:val="21"/>
                <w:u w:val="none"/>
              </w:rPr>
            </w:pPr>
          </w:p>
        </w:tc>
      </w:tr>
      <w:tr>
        <w:tblPrEx>
          <w:tblCellMar>
            <w:top w:w="0" w:type="dxa"/>
            <w:left w:w="0" w:type="dxa"/>
            <w:bottom w:w="0" w:type="dxa"/>
            <w:right w:w="0" w:type="dxa"/>
          </w:tblCellMar>
        </w:tblPrEx>
        <w:trPr>
          <w:trHeight w:val="90" w:hRule="atLeast"/>
          <w:jc w:val="center"/>
        </w:trPr>
        <w:tc>
          <w:tcPr>
            <w:tcW w:w="9171"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tbl>
            <w:tblPr>
              <w:tblStyle w:val="6"/>
              <w:tblW w:w="9171" w:type="dxa"/>
              <w:jc w:val="center"/>
              <w:shd w:val="clear" w:color="auto" w:fill="auto"/>
              <w:tblLayout w:type="fixed"/>
              <w:tblCellMar>
                <w:top w:w="0" w:type="dxa"/>
                <w:left w:w="0" w:type="dxa"/>
                <w:bottom w:w="0" w:type="dxa"/>
                <w:right w:w="0" w:type="dxa"/>
              </w:tblCellMar>
            </w:tblPr>
            <w:tblGrid>
              <w:gridCol w:w="829"/>
              <w:gridCol w:w="1110"/>
              <w:gridCol w:w="5054"/>
              <w:gridCol w:w="1069"/>
              <w:gridCol w:w="1109"/>
            </w:tblGrid>
            <w:tr>
              <w:tblPrEx>
                <w:tblCellMar>
                  <w:top w:w="0" w:type="dxa"/>
                  <w:left w:w="0" w:type="dxa"/>
                  <w:bottom w:w="0" w:type="dxa"/>
                  <w:right w:w="0" w:type="dxa"/>
                </w:tblCellMar>
              </w:tblPrEx>
              <w:trPr>
                <w:trHeight w:val="455" w:hRule="atLeast"/>
                <w:jc w:val="center"/>
              </w:trPr>
              <w:tc>
                <w:tcPr>
                  <w:tcW w:w="9171" w:type="dxa"/>
                  <w:gridSpan w:val="5"/>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i w:val="0"/>
                      <w:color w:val="000000"/>
                      <w:sz w:val="28"/>
                      <w:szCs w:val="28"/>
                      <w:u w:val="none"/>
                    </w:rPr>
                  </w:pPr>
                  <w:r>
                    <w:rPr>
                      <w:rFonts w:hint="eastAsia" w:ascii="黑体" w:hAnsi="黑体" w:eastAsia="黑体" w:cs="黑体"/>
                      <w:color w:val="auto"/>
                      <w:kern w:val="2"/>
                      <w:sz w:val="32"/>
                      <w:szCs w:val="32"/>
                      <w:lang w:val="en-US" w:eastAsia="zh-CN" w:bidi="ar-SA"/>
                    </w:rPr>
                    <w:t>附件2</w:t>
                  </w:r>
                </w:p>
              </w:tc>
            </w:tr>
            <w:tr>
              <w:tblPrEx>
                <w:tblCellMar>
                  <w:top w:w="0" w:type="dxa"/>
                  <w:left w:w="0" w:type="dxa"/>
                  <w:bottom w:w="0" w:type="dxa"/>
                  <w:right w:w="0" w:type="dxa"/>
                </w:tblCellMar>
              </w:tblPrEx>
              <w:trPr>
                <w:trHeight w:val="680" w:hRule="atLeast"/>
                <w:jc w:val="center"/>
              </w:trPr>
              <w:tc>
                <w:tcPr>
                  <w:tcW w:w="9171" w:type="dxa"/>
                  <w:gridSpan w:val="5"/>
                  <w:tcBorders>
                    <w:top w:val="nil"/>
                    <w:left w:val="nil"/>
                    <w:bottom w:val="single" w:color="auto"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8"/>
                      <w:szCs w:val="48"/>
                      <w:u w:val="none"/>
                    </w:rPr>
                  </w:pPr>
                  <w:r>
                    <w:rPr>
                      <w:rFonts w:hint="eastAsia" w:ascii="方正小标宋_GBK" w:hAnsi="方正小标宋_GBK" w:eastAsia="方正小标宋_GBK" w:cs="方正小标宋_GBK"/>
                      <w:i w:val="0"/>
                      <w:color w:val="000000"/>
                      <w:kern w:val="0"/>
                      <w:sz w:val="48"/>
                      <w:szCs w:val="48"/>
                      <w:u w:val="none"/>
                      <w:lang w:val="en-US" w:eastAsia="zh-CN" w:bidi="ar"/>
                    </w:rPr>
                    <w:t>招标代理机构场内交易不良行为认定标准</w:t>
                  </w:r>
                </w:p>
              </w:tc>
            </w:tr>
            <w:tr>
              <w:tblPrEx>
                <w:shd w:val="clear" w:color="auto" w:fill="auto"/>
                <w:tblCellMar>
                  <w:top w:w="0" w:type="dxa"/>
                  <w:left w:w="0" w:type="dxa"/>
                  <w:bottom w:w="0" w:type="dxa"/>
                  <w:right w:w="0" w:type="dxa"/>
                </w:tblCellMar>
              </w:tblPrEx>
              <w:trPr>
                <w:trHeight w:val="429"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1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认定标准</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等级</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64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1</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项目进场环节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仿宋_GB2312" w:hAnsi="仿宋_GB2312" w:eastAsia="仿宋_GB2312" w:cs="仿宋_GB2312"/>
                      <w:b w:val="0"/>
                      <w:i w:val="0"/>
                      <w:snapToGrid/>
                      <w:color w:val="auto"/>
                      <w:sz w:val="24"/>
                      <w:szCs w:val="24"/>
                      <w:highlight w:val="none"/>
                      <w:u w:val="none"/>
                      <w:lang w:val="en-US" w:eastAsia="zh-CN"/>
                    </w:rPr>
                    <w:t>招标代理机构人员未在淄博市公共资源交易平台</w:t>
                  </w:r>
                  <w:r>
                    <w:rPr>
                      <w:rFonts w:hint="eastAsia" w:ascii="仿宋_GB2312" w:hAnsi="仿宋_GB2312" w:eastAsia="仿宋_GB2312" w:cs="仿宋_GB2312"/>
                      <w:b w:val="0"/>
                      <w:i w:val="0"/>
                      <w:strike w:val="0"/>
                      <w:dstrike w:val="0"/>
                      <w:snapToGrid/>
                      <w:color w:val="auto"/>
                      <w:sz w:val="24"/>
                      <w:szCs w:val="24"/>
                      <w:highlight w:val="none"/>
                      <w:u w:val="none"/>
                      <w:lang w:val="en-US" w:eastAsia="zh-CN"/>
                    </w:rPr>
                    <w:t>登记、注册信息的；或者信息</w:t>
                  </w:r>
                  <w:r>
                    <w:rPr>
                      <w:rFonts w:hint="eastAsia" w:ascii="仿宋_GB2312" w:hAnsi="仿宋_GB2312" w:eastAsia="仿宋_GB2312" w:cs="仿宋_GB2312"/>
                      <w:b w:val="0"/>
                      <w:i w:val="0"/>
                      <w:snapToGrid/>
                      <w:color w:val="auto"/>
                      <w:sz w:val="24"/>
                      <w:szCs w:val="24"/>
                      <w:highlight w:val="none"/>
                      <w:u w:val="none"/>
                      <w:lang w:val="en-US" w:eastAsia="zh-CN"/>
                    </w:rPr>
                    <w:t>发生变更，未及时变更登记、注册信息的；</w:t>
                  </w:r>
                  <w:r>
                    <w:rPr>
                      <w:rFonts w:hint="eastAsia" w:ascii="仿宋_GB2312" w:hAnsi="仿宋_GB2312" w:eastAsia="仿宋_GB2312" w:cs="仿宋_GB2312"/>
                      <w:b w:val="0"/>
                      <w:i w:val="0"/>
                      <w:strike w:val="0"/>
                      <w:dstrike w:val="0"/>
                      <w:snapToGrid/>
                      <w:color w:val="auto"/>
                      <w:sz w:val="24"/>
                      <w:szCs w:val="24"/>
                      <w:highlight w:val="none"/>
                      <w:u w:val="none"/>
                      <w:lang w:val="en-US" w:eastAsia="zh-CN"/>
                    </w:rPr>
                    <w:t>或者登记、注册信息弄虚作假的。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kern w:val="0"/>
                      <w:sz w:val="24"/>
                      <w:szCs w:val="24"/>
                      <w:u w:val="none"/>
                      <w:lang w:val="en-US" w:eastAsia="zh-CN" w:bidi="ar"/>
                    </w:rPr>
                  </w:pPr>
                  <w:r>
                    <w:rPr>
                      <w:rFonts w:hint="eastAsia" w:ascii="仿宋_GB2312" w:hAnsi="仿宋_GB2312" w:eastAsia="仿宋_GB2312" w:cs="仿宋_GB2312"/>
                      <w:b w:val="0"/>
                      <w:i w:val="0"/>
                      <w:strike w:val="0"/>
                      <w:dstrike w:val="0"/>
                      <w:snapToGrid/>
                      <w:color w:val="auto"/>
                      <w:sz w:val="24"/>
                      <w:szCs w:val="24"/>
                      <w:highlight w:val="none"/>
                      <w:u w:val="none"/>
                      <w:lang w:val="en-US" w:eastAsia="zh-CN"/>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r>
            <w:tr>
              <w:tblPrEx>
                <w:tblCellMar>
                  <w:top w:w="0" w:type="dxa"/>
                  <w:left w:w="0" w:type="dxa"/>
                  <w:bottom w:w="0" w:type="dxa"/>
                  <w:right w:w="0" w:type="dxa"/>
                </w:tblCellMar>
              </w:tblPrEx>
              <w:trPr>
                <w:trHeight w:val="40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2</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b w:val="0"/>
                      <w:i w:val="0"/>
                      <w:snapToGrid/>
                      <w:color w:val="auto"/>
                      <w:sz w:val="24"/>
                      <w:szCs w:val="24"/>
                      <w:highlight w:val="none"/>
                      <w:u w:val="none"/>
                      <w:lang w:val="en-US" w:eastAsia="zh-CN"/>
                    </w:rPr>
                  </w:pPr>
                  <w:r>
                    <w:rPr>
                      <w:rFonts w:hint="eastAsia" w:ascii="仿宋_GB2312" w:eastAsia="仿宋_GB2312" w:cs="仿宋_GB2312"/>
                      <w:sz w:val="24"/>
                      <w:szCs w:val="24"/>
                    </w:rPr>
                    <w:t>应进入公共资源交易中心招标的项目未进入的</w:t>
                  </w:r>
                  <w:r>
                    <w:rPr>
                      <w:rFonts w:hint="eastAsia" w:ascii="仿宋_GB2312" w:eastAsia="仿宋_GB2312" w:cs="仿宋_GB2312"/>
                      <w:sz w:val="24"/>
                      <w:szCs w:val="24"/>
                      <w:lang w:eastAsia="zh-CN"/>
                    </w:rPr>
                    <w:t>。</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b w:val="0"/>
                      <w:i w:val="0"/>
                      <w:strike w:val="0"/>
                      <w:dstrike w:val="0"/>
                      <w:snapToGrid/>
                      <w:color w:val="auto"/>
                      <w:sz w:val="24"/>
                      <w:szCs w:val="24"/>
                      <w:highlight w:val="none"/>
                      <w:u w:val="none"/>
                      <w:lang w:val="en-US" w:eastAsia="zh-CN"/>
                    </w:rPr>
                  </w:pPr>
                  <w:r>
                    <w:rPr>
                      <w:rFonts w:hint="eastAsia" w:ascii="仿宋_GB2312" w:hAnsi="仿宋_GB2312" w:eastAsia="仿宋_GB2312" w:cs="仿宋_GB2312"/>
                      <w:b w:val="0"/>
                      <w:i w:val="0"/>
                      <w:strike w:val="0"/>
                      <w:dstrike w:val="0"/>
                      <w:snapToGrid/>
                      <w:color w:val="auto"/>
                      <w:sz w:val="24"/>
                      <w:szCs w:val="24"/>
                      <w:highlight w:val="none"/>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r>
            <w:tr>
              <w:tblPrEx>
                <w:tblCellMar>
                  <w:top w:w="0" w:type="dxa"/>
                  <w:left w:w="0" w:type="dxa"/>
                  <w:bottom w:w="0" w:type="dxa"/>
                  <w:right w:w="0" w:type="dxa"/>
                </w:tblCellMar>
              </w:tblPrEx>
              <w:trPr>
                <w:trHeight w:val="64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kern w:val="0"/>
                      <w:sz w:val="24"/>
                      <w:szCs w:val="24"/>
                      <w:u w:val="none"/>
                      <w:lang w:val="en-US" w:eastAsia="zh-CN" w:bidi="ar"/>
                    </w:rPr>
                  </w:pPr>
                  <w:r>
                    <w:rPr>
                      <w:rFonts w:hint="eastAsia" w:ascii="宋体" w:hAnsi="宋体" w:eastAsia="宋体" w:cs="宋体"/>
                      <w:b w:val="0"/>
                      <w:bCs/>
                      <w:i w:val="0"/>
                      <w:color w:val="000000"/>
                      <w:kern w:val="0"/>
                      <w:sz w:val="24"/>
                      <w:szCs w:val="24"/>
                      <w:u w:val="none"/>
                      <w:lang w:val="en-US" w:eastAsia="zh-CN" w:bidi="ar"/>
                    </w:rPr>
                    <w:t>3</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eastAsia="仿宋_GB2312" w:cs="仿宋_GB2312"/>
                      <w:sz w:val="24"/>
                      <w:szCs w:val="24"/>
                    </w:rPr>
                  </w:pPr>
                  <w:r>
                    <w:rPr>
                      <w:rFonts w:hint="eastAsia" w:ascii="仿宋_GB2312" w:eastAsia="仿宋_GB2312" w:cs="仿宋_GB2312"/>
                      <w:sz w:val="24"/>
                      <w:szCs w:val="24"/>
                    </w:rPr>
                    <w:t>项目招标代理合同中配备的项目负责人及其他从业人员信息与信用系统中招标代理机构基本信息中的人员不一致的；项目招标代理合同中配备的项目负责人及其他从业人员与实际负责项目的从业人员不符的。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仿宋_GB2312" w:eastAsia="仿宋_GB2312" w:cs="仿宋_GB2312"/>
                      <w:b w:val="0"/>
                      <w:i w:val="0"/>
                      <w:strike w:val="0"/>
                      <w:dstrike w:val="0"/>
                      <w:snapToGrid/>
                      <w:color w:val="auto"/>
                      <w:sz w:val="24"/>
                      <w:szCs w:val="24"/>
                      <w:highlight w:val="none"/>
                      <w:u w:val="none"/>
                      <w:lang w:val="en-US" w:eastAsia="zh-CN"/>
                    </w:rPr>
                  </w:pPr>
                  <w:r>
                    <w:rPr>
                      <w:rFonts w:hint="eastAsia" w:ascii="仿宋_GB2312" w:hAnsi="仿宋_GB2312" w:eastAsia="仿宋_GB2312" w:cs="仿宋_GB2312"/>
                      <w:b w:val="0"/>
                      <w:i w:val="0"/>
                      <w:strike w:val="0"/>
                      <w:dstrike w:val="0"/>
                      <w:snapToGrid/>
                      <w:color w:val="auto"/>
                      <w:sz w:val="24"/>
                      <w:szCs w:val="24"/>
                      <w:highlight w:val="none"/>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p>
              </w:tc>
            </w:tr>
            <w:tr>
              <w:tblPrEx>
                <w:tblCellMar>
                  <w:top w:w="0" w:type="dxa"/>
                  <w:left w:w="0" w:type="dxa"/>
                  <w:bottom w:w="0" w:type="dxa"/>
                  <w:right w:w="0" w:type="dxa"/>
                </w:tblCellMar>
              </w:tblPrEx>
              <w:trPr>
                <w:trHeight w:val="581"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both"/>
                    <w:rPr>
                      <w:rFonts w:hint="eastAsia" w:ascii="宋体" w:hAnsi="宋体" w:eastAsiaTheme="minorEastAsia" w:cstheme="minorBidi"/>
                      <w:kern w:val="0"/>
                      <w:sz w:val="21"/>
                      <w:szCs w:val="21"/>
                      <w:lang w:val="en-US" w:eastAsia="zh-CN" w:bidi="ar-SA"/>
                    </w:rPr>
                  </w:pPr>
                  <w:r>
                    <w:rPr>
                      <w:rFonts w:hint="eastAsia" w:ascii="仿宋_GB2312" w:hAnsi="仿宋_GB2312" w:eastAsia="仿宋_GB2312" w:cs="仿宋_GB2312"/>
                      <w:b w:val="0"/>
                      <w:i w:val="0"/>
                      <w:snapToGrid/>
                      <w:color w:val="auto"/>
                      <w:sz w:val="24"/>
                      <w:szCs w:val="24"/>
                      <w:highlight w:val="none"/>
                      <w:u w:val="none"/>
                      <w:lang w:val="en-US" w:eastAsia="zh-CN"/>
                    </w:rPr>
                    <w:t>依法必须招标的项目故意规避有关部门监管，采用委托方式进场交易的。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trike w:val="0"/>
                      <w:dstrike w:val="0"/>
                      <w:snapToGrid/>
                      <w:color w:val="auto"/>
                      <w:sz w:val="24"/>
                      <w:szCs w:val="24"/>
                      <w:highlight w:val="none"/>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761"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leftChars="0" w:right="0" w:rightChars="0"/>
                    <w:jc w:val="both"/>
                    <w:rPr>
                      <w:rFonts w:hint="eastAsia" w:ascii="仿宋_GB2312" w:eastAsia="仿宋_GB2312" w:cs="仿宋_GB2312"/>
                      <w:sz w:val="24"/>
                      <w:szCs w:val="24"/>
                    </w:rPr>
                  </w:pPr>
                  <w:r>
                    <w:rPr>
                      <w:rFonts w:hint="eastAsia" w:ascii="仿宋_GB2312" w:eastAsia="仿宋_GB2312" w:cs="仿宋_GB2312"/>
                      <w:sz w:val="24"/>
                      <w:szCs w:val="24"/>
                    </w:rPr>
                    <w:t>明知委托事项违法而进行代理的；未依照项目审批部门核准的招标方式进行招标的。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9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场地预约环节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未按照有关文件要求预约远程异地场地的和填报抽取信息的。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06"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未使用随机抽取程序自主确定远程异地项目评标副场的。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信息发布环节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宋体" w:eastAsia="仿宋_GB2312" w:cs="仿宋_GB2312"/>
                      <w:kern w:val="0"/>
                      <w:sz w:val="24"/>
                      <w:szCs w:val="24"/>
                      <w:lang w:val="en-US" w:eastAsia="zh-CN" w:bidi="ar-SA"/>
                    </w:rPr>
                  </w:pPr>
                  <w:r>
                    <w:rPr>
                      <w:rFonts w:hint="eastAsia" w:ascii="仿宋_GB2312" w:hAnsi="仿宋_GB2312" w:eastAsia="仿宋_GB2312" w:cs="仿宋_GB2312"/>
                      <w:b w:val="0"/>
                      <w:i w:val="0"/>
                      <w:snapToGrid/>
                      <w:color w:val="auto"/>
                      <w:sz w:val="24"/>
                      <w:szCs w:val="24"/>
                      <w:highlight w:val="none"/>
                      <w:u w:val="none"/>
                      <w:lang w:val="en-US" w:eastAsia="zh-CN"/>
                    </w:rPr>
                    <w:t>未使用国家、省、市有关部门指定的标准文本，编制满足项目需求的招标文件的。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因故意或重大过失导致发布的公示信息发生遗漏、错误的。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2"/>
                      <w:szCs w:val="22"/>
                      <w:u w:val="none"/>
                      <w:lang w:val="en-US" w:eastAsia="zh-CN" w:bidi="ar-SA"/>
                    </w:rPr>
                  </w:pPr>
                  <w:r>
                    <w:rPr>
                      <w:rFonts w:hint="eastAsia" w:ascii="仿宋_GB2312" w:hAnsi="宋体" w:eastAsia="仿宋_GB2312" w:cs="仿宋_GB2312"/>
                      <w:i w:val="0"/>
                      <w:color w:val="000000"/>
                      <w:kern w:val="0"/>
                      <w:sz w:val="22"/>
                      <w:szCs w:val="22"/>
                      <w:u w:val="none"/>
                      <w:lang w:val="en-US" w:eastAsia="zh-CN" w:bidi="ar"/>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仿宋_GB2312" w:eastAsia="仿宋_GB2312" w:cs="仿宋_GB2312"/>
                      <w:b w:val="0"/>
                      <w:i w:val="0"/>
                      <w:snapToGrid/>
                      <w:color w:val="auto"/>
                      <w:kern w:val="2"/>
                      <w:sz w:val="24"/>
                      <w:szCs w:val="24"/>
                      <w:highlight w:val="none"/>
                      <w:u w:val="none"/>
                      <w:lang w:val="en-US" w:eastAsia="zh-CN"/>
                    </w:rPr>
                  </w:pPr>
                  <w:r>
                    <w:rPr>
                      <w:rFonts w:hint="eastAsia" w:ascii="仿宋_GB2312" w:hAnsi="仿宋_GB2312" w:eastAsia="仿宋_GB2312" w:cs="仿宋_GB2312"/>
                      <w:b w:val="0"/>
                      <w:i w:val="0"/>
                      <w:snapToGrid/>
                      <w:color w:val="auto"/>
                      <w:sz w:val="24"/>
                      <w:szCs w:val="24"/>
                      <w:highlight w:val="none"/>
                      <w:u w:val="none"/>
                      <w:lang w:val="en-US" w:eastAsia="zh-CN"/>
                    </w:rPr>
                    <w:t>简单套用类似招标项目模板，出现日期错误、名称错误、错敏词等常识性错误的；发布的招标公告、资格预审公告、资格预审文件、招标文件或其他成果文件存在歧义、重大瑕疵、自相矛盾、缺项漏项或严重错误，对评审结果产生影响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2"/>
                      <w:szCs w:val="22"/>
                      <w:u w:val="none"/>
                      <w:lang w:val="en-US" w:eastAsia="zh-CN" w:bidi="ar-SA"/>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27"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仿宋_GB2312" w:eastAsia="仿宋_GB2312" w:cs="仿宋_GB2312"/>
                      <w:b w:val="0"/>
                      <w:i w:val="0"/>
                      <w:snapToGrid/>
                      <w:color w:val="auto"/>
                      <w:kern w:val="0"/>
                      <w:sz w:val="24"/>
                      <w:szCs w:val="24"/>
                      <w:highlight w:val="none"/>
                      <w:u w:val="none"/>
                      <w:lang w:val="en-US" w:eastAsia="zh-CN" w:bidi="ar-SA"/>
                    </w:rPr>
                  </w:pPr>
                  <w:r>
                    <w:rPr>
                      <w:rFonts w:hint="eastAsia" w:ascii="仿宋_GB2312" w:eastAsia="仿宋_GB2312" w:cs="仿宋_GB2312"/>
                      <w:color w:val="auto"/>
                      <w:sz w:val="24"/>
                      <w:szCs w:val="24"/>
                    </w:rPr>
                    <w:t>以不合理的条件限制或者排斥潜在投标人的，对潜在投标人实行歧视待遇的，强制要求投标人组成联合体共同投标的，或者限制投标人之间竞争的；在资格审查阶段故意刁难、劝退潜在投标人的</w:t>
                  </w:r>
                  <w:r>
                    <w:rPr>
                      <w:rFonts w:hint="eastAsia" w:ascii="仿宋_GB2312" w:hAnsi="宋体" w:eastAsia="仿宋_GB2312" w:cs="仿宋_GB2312"/>
                      <w:color w:val="auto"/>
                      <w:sz w:val="24"/>
                      <w:szCs w:val="24"/>
                    </w:rPr>
                    <w:t>；接受未通过资格预审的单位或个人投标的。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062"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Theme="minorEastAsia" w:cstheme="minorBidi"/>
                      <w:kern w:val="0"/>
                      <w:sz w:val="21"/>
                      <w:szCs w:val="21"/>
                      <w:lang w:val="en-US" w:eastAsia="zh-CN" w:bidi="ar-SA"/>
                    </w:rPr>
                  </w:pPr>
                  <w:r>
                    <w:rPr>
                      <w:rFonts w:hint="eastAsia" w:ascii="仿宋_GB2312" w:eastAsia="仿宋_GB2312" w:cs="仿宋_GB2312"/>
                      <w:sz w:val="24"/>
                      <w:szCs w:val="24"/>
                    </w:rPr>
                    <w:t>针对资格预审文件或招标文件，未按法定时间和程序，对投标人或其他利害关系人提出的异议作出答复，或答非所问，故意规避问题，或拒收的。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7"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Theme="minorEastAsia" w:cstheme="minorBidi"/>
                      <w:kern w:val="0"/>
                      <w:sz w:val="21"/>
                      <w:szCs w:val="21"/>
                      <w:lang w:val="en-US" w:eastAsia="zh-CN" w:bidi="ar-SA"/>
                    </w:rPr>
                  </w:pPr>
                  <w:r>
                    <w:rPr>
                      <w:rFonts w:hint="eastAsia" w:ascii="仿宋_GB2312" w:eastAsia="仿宋_GB2312" w:cs="仿宋_GB2312"/>
                      <w:sz w:val="24"/>
                      <w:szCs w:val="24"/>
                    </w:rPr>
                    <w:t>发布资格预审公告（招标公告）、资格预审文件（招标文件）或其他成果文件，违反招标投标法律法规及规章关于时限的规定的；发布预审公告（招标公告）、资格预审文件（招标文件）或其他成果文件后擅自终止招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127"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Theme="minorEastAsia" w:cstheme="minorBidi"/>
                      <w:kern w:val="0"/>
                      <w:sz w:val="21"/>
                      <w:szCs w:val="21"/>
                      <w:lang w:val="en-US" w:eastAsia="zh-CN" w:bidi="ar-SA"/>
                    </w:rPr>
                  </w:pPr>
                  <w:r>
                    <w:rPr>
                      <w:rFonts w:hint="eastAsia" w:ascii="仿宋_GB2312" w:eastAsia="仿宋_GB2312" w:cs="仿宋_GB2312"/>
                      <w:sz w:val="24"/>
                      <w:szCs w:val="24"/>
                    </w:rPr>
                    <w:t>资格预审公告（招标公告）、资格预审文件（招标文件）或其他成果文件等发布后，中途以不合理理由修改相关内容的。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26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中标候选人公示中，未按法定时间和程序对投标人或其他利害关系人提出的异议作出答复，或答非所问，故意规避问题，或拒收的。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065"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中标候选人公示未在规定时间内发布，或无正当理由迟迟不发布，或拒绝发布的；</w:t>
                  </w:r>
                  <w:r>
                    <w:rPr>
                      <w:rFonts w:hint="eastAsia" w:ascii="仿宋_GB2312" w:eastAsia="仿宋_GB2312" w:cs="仿宋_GB2312"/>
                      <w:color w:val="auto"/>
                      <w:sz w:val="24"/>
                      <w:szCs w:val="24"/>
                    </w:rPr>
                    <w:t>故意拖延公示企业或项目班子业绩的。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03"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依法必须公开招标的项目不按照规定发布资格预审公告（招标公告）的；在两家以上媒介发布的同一招标项目的资格预审公告（招标公告）内容不一致，或在信息发布活动中存在违法违规行为，影响潜在投标人申请资格预审或者投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26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拟定的资格预审公告（招标公告）、资格预审文件（招标文件）或其他成果文件中存在要求提供“八大员”证书、以“诚意金”“借款”等名义要求中标人支付超过10%的履约</w:t>
                  </w:r>
                  <w:r>
                    <w:rPr>
                      <w:rFonts w:hint="eastAsia" w:ascii="仿宋_GB2312" w:eastAsia="仿宋_GB2312" w:cs="仿宋_GB2312"/>
                      <w:sz w:val="24"/>
                      <w:szCs w:val="24"/>
                      <w:lang w:val="en-US" w:eastAsia="zh-CN"/>
                    </w:rPr>
                    <w:t>保证</w:t>
                  </w:r>
                  <w:r>
                    <w:rPr>
                      <w:rFonts w:hint="eastAsia" w:ascii="仿宋_GB2312" w:eastAsia="仿宋_GB2312" w:cs="仿宋_GB2312"/>
                      <w:sz w:val="24"/>
                      <w:szCs w:val="24"/>
                    </w:rPr>
                    <w:t>金等条款的；采用明示或暗示的手段，拒绝或限制投标人自愿选择投标保证金（履约保证金）、保险保函、银行保函等任一形式作为投标保证（履约担保）的；不执行投标保证金（履约保证金）收退规定的。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805"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19</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抽取评标评审专家环节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未按照有关文件要求填报抽取信息的；《专家抽取表》未经招标人、监督部门审核通过，提前抽取专家的。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29"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eastAsia="仿宋_GB2312" w:cs="仿宋_GB2312"/>
                      <w:sz w:val="24"/>
                      <w:szCs w:val="24"/>
                    </w:rPr>
                    <w:t>违规抽取评标评审专家，造成严重后果的。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55"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21</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开评标环节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进入评标区的招标代理从业人员超过2名，未报备见证人员的。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9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22</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开评标过程中，存在迟到、早退、擅离职守情形。</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3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23</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宋体" w:eastAsia="仿宋_GB2312" w:cs="仿宋_GB2312"/>
                      <w:i w:val="0"/>
                      <w:color w:val="000000"/>
                      <w:sz w:val="22"/>
                      <w:szCs w:val="22"/>
                      <w:u w:val="none"/>
                    </w:rPr>
                  </w:pPr>
                  <w:r>
                    <w:rPr>
                      <w:rFonts w:hint="eastAsia" w:ascii="仿宋_GB2312" w:hAnsi="仿宋_GB2312" w:eastAsia="仿宋_GB2312" w:cs="仿宋_GB2312"/>
                      <w:b w:val="0"/>
                      <w:i w:val="0"/>
                      <w:snapToGrid/>
                      <w:color w:val="auto"/>
                      <w:sz w:val="24"/>
                      <w:szCs w:val="24"/>
                      <w:highlight w:val="none"/>
                      <w:u w:val="none"/>
                      <w:lang w:val="en-US" w:eastAsia="zh-CN"/>
                    </w:rPr>
                    <w:t>进入评标区的项目组成员不配合交易中心工作人员进行身份核验，工作证登记领取、佩戴、归还及通讯工具存放的。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62"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进入开、评标</w:t>
                  </w:r>
                  <w:r>
                    <w:rPr>
                      <w:rFonts w:hint="eastAsia" w:ascii="仿宋_GB2312" w:eastAsia="仿宋_GB2312" w:cs="仿宋_GB2312"/>
                      <w:sz w:val="24"/>
                      <w:szCs w:val="24"/>
                      <w:lang w:val="en-US" w:eastAsia="zh-CN"/>
                    </w:rPr>
                    <w:t>区</w:t>
                  </w:r>
                  <w:r>
                    <w:rPr>
                      <w:rFonts w:hint="eastAsia" w:ascii="仿宋_GB2312" w:eastAsia="仿宋_GB2312" w:cs="仿宋_GB2312"/>
                      <w:sz w:val="24"/>
                      <w:szCs w:val="24"/>
                    </w:rPr>
                    <w:t>的招标代理人员，无招标代理机构出具的授权委托书（其委托人必须与代理机构签订劳动合同并且建立劳动工资和社会养老保险关系）的。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2"/>
                      <w:szCs w:val="22"/>
                      <w:u w:val="none"/>
                      <w:lang w:val="en-US" w:eastAsia="zh-CN" w:bidi="ar-SA"/>
                    </w:rPr>
                  </w:pPr>
                  <w:r>
                    <w:rPr>
                      <w:rFonts w:hint="eastAsia" w:ascii="仿宋_GB2312" w:hAnsi="宋体" w:eastAsia="仿宋_GB2312" w:cs="仿宋_GB2312"/>
                      <w:i w:val="0"/>
                      <w:color w:val="000000"/>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63"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color w:val="auto"/>
                      <w:kern w:val="0"/>
                      <w:sz w:val="21"/>
                      <w:szCs w:val="21"/>
                      <w:lang w:val="en-US" w:eastAsia="zh-CN" w:bidi="ar-SA"/>
                    </w:rPr>
                  </w:pPr>
                  <w:r>
                    <w:rPr>
                      <w:rFonts w:hint="eastAsia" w:ascii="仿宋_GB2312" w:eastAsia="仿宋_GB2312" w:cs="仿宋_GB2312"/>
                      <w:color w:val="auto"/>
                      <w:sz w:val="24"/>
                      <w:szCs w:val="24"/>
                    </w:rPr>
                    <w:t>招标代理从业人员或者招标人代表违规将通讯工具（含手机、PAD、笔记本电脑等无线上网设备）带入评标区的；在评标区使用通讯工具的；评标过程中擅自进出评标区的。招标人代表经招标代理机构从业人员提示后拒不改正的，招标代理机构免除责任。</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FF0000"/>
                      <w:sz w:val="22"/>
                      <w:szCs w:val="22"/>
                      <w:u w:val="none"/>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因招标代理原因，开标评标过程记录不完整、不真实，重要内容记录不清，或开标过程中相关资料未履行签字手续或签字手续不完备的。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color w:val="auto"/>
                      <w:kern w:val="0"/>
                      <w:sz w:val="21"/>
                      <w:szCs w:val="21"/>
                      <w:lang w:val="en-US" w:eastAsia="zh-CN" w:bidi="ar-SA"/>
                    </w:rPr>
                  </w:pPr>
                  <w:r>
                    <w:rPr>
                      <w:rFonts w:hint="eastAsia" w:ascii="仿宋_GB2312" w:eastAsia="仿宋_GB2312" w:cs="仿宋_GB2312"/>
                      <w:color w:val="auto"/>
                      <w:sz w:val="24"/>
                      <w:szCs w:val="24"/>
                    </w:rPr>
                    <w:t>与所代理工程投标单位存在隶属关系或其它利害关系的。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2"/>
                      <w:szCs w:val="22"/>
                      <w:u w:val="none"/>
                      <w:lang w:val="en-US" w:eastAsia="zh-CN" w:bidi="ar-SA"/>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color w:val="auto"/>
                      <w:kern w:val="0"/>
                      <w:sz w:val="21"/>
                      <w:szCs w:val="21"/>
                      <w:lang w:val="en-US" w:eastAsia="zh-CN" w:bidi="ar-SA"/>
                    </w:rPr>
                  </w:pPr>
                  <w:r>
                    <w:rPr>
                      <w:rFonts w:hint="eastAsia" w:ascii="仿宋_GB2312" w:eastAsia="仿宋_GB2312" w:cs="仿宋_GB2312"/>
                      <w:color w:val="auto"/>
                      <w:sz w:val="24"/>
                      <w:szCs w:val="24"/>
                    </w:rPr>
                    <w:t>对评标委员会进行倾向性引导或干扰正常评标秩序的；明知投标人或评标专家在招标投标活动中有违法违规行为而不向招标投标监管部门报告的；指使、暗示或强迫要求评标委员会推荐的中标候选人放弃中标的。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2"/>
                      <w:sz w:val="22"/>
                      <w:szCs w:val="22"/>
                      <w:u w:val="none"/>
                      <w:lang w:val="en-US" w:eastAsia="zh-CN" w:bidi="ar-SA"/>
                    </w:rPr>
                  </w:pPr>
                  <w:r>
                    <w:rPr>
                      <w:rFonts w:hint="eastAsia" w:ascii="仿宋_GB2312" w:hAnsi="宋体" w:eastAsia="仿宋_GB2312" w:cs="仿宋_GB2312"/>
                      <w:i w:val="0"/>
                      <w:color w:val="auto"/>
                      <w:kern w:val="0"/>
                      <w:sz w:val="22"/>
                      <w:szCs w:val="22"/>
                      <w:u w:val="none"/>
                      <w:lang w:val="en-US" w:eastAsia="zh-CN" w:bidi="ar"/>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因招标代理原因，开标记录、评标数据统计出现重大错误，影响招标公正性或造成不良影响的。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2"/>
                      <w:szCs w:val="22"/>
                      <w:u w:val="none"/>
                      <w:lang w:val="en-US" w:eastAsia="zh-CN" w:bidi="ar-SA"/>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kern w:val="2"/>
                      <w:sz w:val="22"/>
                      <w:szCs w:val="22"/>
                      <w:u w:val="none"/>
                      <w:lang w:val="en-US" w:eastAsia="zh-CN" w:bidi="ar-SA"/>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宋体" w:eastAsia="仿宋_GB2312" w:cs="仿宋_GB2312"/>
                      <w:kern w:val="0"/>
                      <w:sz w:val="24"/>
                      <w:szCs w:val="24"/>
                      <w:lang w:val="en-US" w:eastAsia="zh-CN" w:bidi="ar-SA"/>
                    </w:rPr>
                  </w:pPr>
                  <w:r>
                    <w:rPr>
                      <w:rFonts w:hint="eastAsia" w:ascii="仿宋_GB2312" w:hAnsi="宋体" w:eastAsia="仿宋_GB2312" w:cs="仿宋_GB2312"/>
                      <w:kern w:val="0"/>
                      <w:sz w:val="24"/>
                      <w:szCs w:val="24"/>
                      <w:lang w:val="en-US" w:eastAsia="zh-CN" w:bidi="ar-SA"/>
                    </w:rPr>
                    <w:t>因故需要组织重新评审或复议，未按照规定组织实施的。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kern w:val="0"/>
                      <w:sz w:val="24"/>
                      <w:szCs w:val="24"/>
                      <w:lang w:val="en-US" w:eastAsia="zh-CN" w:bidi="ar-SA"/>
                    </w:rPr>
                  </w:pPr>
                  <w:r>
                    <w:rPr>
                      <w:rFonts w:hint="eastAsia" w:ascii="仿宋_GB2312" w:hAnsi="宋体" w:eastAsia="仿宋_GB2312" w:cs="仿宋_GB2312"/>
                      <w:kern w:val="0"/>
                      <w:sz w:val="24"/>
                      <w:szCs w:val="24"/>
                      <w:lang w:val="en-US" w:eastAsia="zh-CN" w:bidi="ar-SA"/>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仿宋_GB2312" w:hAnsi="宋体" w:eastAsia="仿宋_GB2312" w:cs="仿宋_GB2312"/>
                      <w:kern w:val="0"/>
                      <w:sz w:val="24"/>
                      <w:szCs w:val="24"/>
                      <w:lang w:val="en-US" w:eastAsia="zh-CN" w:bidi="ar-SA"/>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投标截止后，更换、篡改特定投标人的投标文件内容的。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2"/>
                      <w:szCs w:val="22"/>
                      <w:u w:val="none"/>
                      <w:lang w:val="en-US" w:eastAsia="zh-CN" w:bidi="ar"/>
                    </w:rPr>
                  </w:pPr>
                  <w:r>
                    <w:rPr>
                      <w:rFonts w:hint="eastAsia" w:ascii="仿宋_GB2312" w:hAnsi="宋体" w:eastAsia="仿宋_GB2312" w:cs="仿宋_GB2312"/>
                      <w:i w:val="0"/>
                      <w:color w:val="000000"/>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FF0000"/>
                      <w:sz w:val="22"/>
                      <w:szCs w:val="22"/>
                      <w:u w:val="none"/>
                    </w:rPr>
                  </w:pPr>
                </w:p>
              </w:tc>
            </w:tr>
            <w:tr>
              <w:tblPrEx>
                <w:tblCellMar>
                  <w:top w:w="0" w:type="dxa"/>
                  <w:left w:w="0" w:type="dxa"/>
                  <w:bottom w:w="0" w:type="dxa"/>
                  <w:right w:w="0" w:type="dxa"/>
                </w:tblCellMar>
              </w:tblPrEx>
              <w:trPr>
                <w:trHeight w:val="72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auto"/>
                      <w:kern w:val="2"/>
                      <w:sz w:val="22"/>
                      <w:szCs w:val="22"/>
                      <w:u w:val="none"/>
                      <w:lang w:val="en-US" w:eastAsia="zh-CN" w:bidi="ar-SA"/>
                    </w:rPr>
                  </w:pPr>
                  <w:r>
                    <w:rPr>
                      <w:rFonts w:hint="eastAsia" w:ascii="仿宋_GB2312" w:eastAsia="仿宋_GB2312" w:cs="仿宋_GB2312"/>
                      <w:color w:val="auto"/>
                      <w:sz w:val="24"/>
                      <w:szCs w:val="24"/>
                    </w:rPr>
                    <w:t>发现不同投标人的委托代理人、项目管理成员等属于同一单位，仍同意其继续参加投标的。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2"/>
                      <w:sz w:val="22"/>
                      <w:szCs w:val="22"/>
                      <w:u w:val="none"/>
                      <w:lang w:val="en-US" w:eastAsia="zh-CN" w:bidi="ar-SA"/>
                    </w:rPr>
                  </w:pPr>
                  <w:r>
                    <w:rPr>
                      <w:rFonts w:hint="eastAsia" w:ascii="仿宋_GB2312" w:hAnsi="宋体" w:eastAsia="仿宋_GB2312" w:cs="仿宋_GB2312"/>
                      <w:i w:val="0"/>
                      <w:color w:val="auto"/>
                      <w:kern w:val="0"/>
                      <w:sz w:val="22"/>
                      <w:szCs w:val="22"/>
                      <w:u w:val="none"/>
                      <w:lang w:val="en-US" w:eastAsia="zh-CN" w:bidi="ar"/>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1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iCs w:val="0"/>
                      <w:caps w:val="0"/>
                      <w:color w:val="auto"/>
                      <w:spacing w:val="0"/>
                      <w:sz w:val="24"/>
                      <w:szCs w:val="24"/>
                    </w:rPr>
                    <w:t>索取、收受投标人贿赂或者获取其他不正当利益的</w:t>
                  </w:r>
                  <w:r>
                    <w:rPr>
                      <w:rFonts w:hint="eastAsia" w:ascii="仿宋_GB2312" w:eastAsia="仿宋_GB2312" w:cs="仿宋_GB2312"/>
                      <w:i w:val="0"/>
                      <w:iCs w:val="0"/>
                      <w:caps w:val="0"/>
                      <w:color w:val="auto"/>
                      <w:spacing w:val="0"/>
                      <w:sz w:val="24"/>
                      <w:szCs w:val="24"/>
                      <w:lang w:eastAsia="zh-CN"/>
                    </w:rPr>
                    <w:t>。</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84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标后环节</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仿宋_GB2312" w:eastAsia="仿宋_GB2312" w:cs="仿宋_GB2312"/>
                      <w:b w:val="0"/>
                      <w:i w:val="0"/>
                      <w:snapToGrid/>
                      <w:color w:val="auto"/>
                      <w:kern w:val="2"/>
                      <w:sz w:val="24"/>
                      <w:szCs w:val="24"/>
                      <w:highlight w:val="none"/>
                      <w:u w:val="none"/>
                      <w:lang w:val="en-US" w:eastAsia="zh-CN"/>
                    </w:rPr>
                  </w:pPr>
                  <w:r>
                    <w:rPr>
                      <w:rFonts w:hint="eastAsia" w:ascii="仿宋_GB2312" w:hAnsi="仿宋_GB2312" w:eastAsia="仿宋_GB2312" w:cs="仿宋_GB2312"/>
                      <w:b w:val="0"/>
                      <w:i w:val="0"/>
                      <w:snapToGrid/>
                      <w:color w:val="auto"/>
                      <w:sz w:val="24"/>
                      <w:szCs w:val="24"/>
                      <w:highlight w:val="none"/>
                      <w:u w:val="none"/>
                      <w:lang w:val="en-US" w:eastAsia="zh-CN"/>
                    </w:rPr>
                    <w:t>未按规定报送招标投标情况的书面报告的；未按照相关档案管理规定执行，造成档案资料不符合完整性、准确性、可用性、安全性、时效性要求的。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225"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宋体" w:hAnsi="宋体" w:eastAsia="宋体" w:cs="Times New Roman"/>
                      <w:kern w:val="0"/>
                      <w:sz w:val="21"/>
                      <w:szCs w:val="21"/>
                      <w:lang w:val="en-US" w:eastAsia="zh-CN" w:bidi="ar-SA"/>
                    </w:rPr>
                  </w:pPr>
                  <w:r>
                    <w:rPr>
                      <w:rFonts w:hint="eastAsia" w:ascii="仿宋_GB2312" w:hAnsi="仿宋_GB2312" w:eastAsia="仿宋_GB2312" w:cs="仿宋_GB2312"/>
                      <w:b w:val="0"/>
                      <w:i w:val="0"/>
                      <w:snapToGrid/>
                      <w:color w:val="auto"/>
                      <w:sz w:val="24"/>
                      <w:szCs w:val="24"/>
                      <w:highlight w:val="none"/>
                      <w:u w:val="none"/>
                      <w:lang w:val="en-US" w:eastAsia="zh-CN"/>
                    </w:rPr>
                    <w:t>未按照《关于推进招投标合同签订和变更网上办理有关工作的通知》文件要求，及时组织督促招标人、中标人在规定时间内网上签订和变更合同的。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665"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eastAsia="仿宋_GB2312" w:cs="仿宋_GB2312"/>
                      <w:sz w:val="24"/>
                      <w:szCs w:val="24"/>
                    </w:rPr>
                    <w:t>招标代理机构不如实记录或者妥善保存招标投标活动相关资料的。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7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仿宋_GB2312" w:eastAsia="仿宋_GB2312" w:cs="仿宋_GB2312"/>
                      <w:b w:val="0"/>
                      <w:i w:val="0"/>
                      <w:snapToGrid/>
                      <w:color w:val="auto"/>
                      <w:kern w:val="2"/>
                      <w:sz w:val="24"/>
                      <w:szCs w:val="24"/>
                      <w:highlight w:val="none"/>
                      <w:u w:val="none"/>
                      <w:lang w:val="en-US" w:eastAsia="zh-CN" w:bidi="ar-SA"/>
                    </w:rPr>
                  </w:pPr>
                  <w:r>
                    <w:rPr>
                      <w:rFonts w:hint="eastAsia" w:ascii="仿宋_GB2312" w:eastAsia="仿宋_GB2312" w:cs="仿宋_GB2312"/>
                      <w:sz w:val="24"/>
                      <w:szCs w:val="24"/>
                    </w:rPr>
                    <w:t>因招标代理原因被处罚处理或引起信访、举报、投诉、12345热线反映被查实的。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24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仿宋_GB2312" w:eastAsia="仿宋_GB2312" w:cs="仿宋_GB2312"/>
                      <w:b w:val="0"/>
                      <w:i w:val="0"/>
                      <w:snapToGrid/>
                      <w:color w:val="auto"/>
                      <w:kern w:val="2"/>
                      <w:sz w:val="24"/>
                      <w:szCs w:val="24"/>
                      <w:highlight w:val="none"/>
                      <w:u w:val="none"/>
                      <w:lang w:val="en-US" w:eastAsia="zh-CN" w:bidi="ar-SA"/>
                    </w:rPr>
                  </w:pPr>
                  <w:r>
                    <w:rPr>
                      <w:rFonts w:hint="eastAsia" w:ascii="仿宋_GB2312" w:hAnsi="宋体" w:eastAsia="仿宋_GB2312" w:cs="仿宋_GB2312"/>
                      <w:i w:val="0"/>
                      <w:iCs w:val="0"/>
                      <w:caps w:val="0"/>
                      <w:spacing w:val="0"/>
                      <w:sz w:val="24"/>
                      <w:szCs w:val="24"/>
                    </w:rPr>
                    <w:t>违反法律规定，将必须进行招标的项目化整为零或者以其他任何方式规避招标，或者将应进行公开招标的项目采用邀请招标方式招标，受到行政处罚的</w:t>
                  </w:r>
                  <w:r>
                    <w:rPr>
                      <w:rFonts w:hint="eastAsia" w:ascii="仿宋_GB2312" w:eastAsia="仿宋_GB2312" w:cs="仿宋_GB2312"/>
                      <w:i w:val="0"/>
                      <w:iCs w:val="0"/>
                      <w:caps w:val="0"/>
                      <w:spacing w:val="0"/>
                      <w:sz w:val="24"/>
                      <w:szCs w:val="24"/>
                      <w:lang w:eastAsia="zh-CN"/>
                    </w:rPr>
                    <w:t>。</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240"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39</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hAnsi="宋体" w:eastAsia="仿宋_GB2312" w:cs="仿宋_GB2312"/>
                      <w:i w:val="0"/>
                      <w:iCs w:val="0"/>
                      <w:caps w:val="0"/>
                      <w:spacing w:val="0"/>
                      <w:sz w:val="24"/>
                      <w:szCs w:val="24"/>
                    </w:rPr>
                    <w:t>泄露应保密的与招标投标活动有关的情况和资料的，或者与招标人、投标人、评标专家等串通损害国家利益、社会公共利益或者他人合法权益，受到行政处罚的</w:t>
                  </w:r>
                  <w:r>
                    <w:rPr>
                      <w:rFonts w:hint="eastAsia" w:ascii="仿宋_GB2312" w:eastAsia="仿宋_GB2312" w:cs="仿宋_GB2312"/>
                      <w:i w:val="0"/>
                      <w:iCs w:val="0"/>
                      <w:caps w:val="0"/>
                      <w:spacing w:val="0"/>
                      <w:sz w:val="24"/>
                      <w:szCs w:val="24"/>
                      <w:lang w:eastAsia="zh-CN"/>
                    </w:rPr>
                    <w:t>。</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1"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kern w:val="0"/>
                      <w:sz w:val="21"/>
                      <w:szCs w:val="21"/>
                      <w:lang w:val="en-US" w:eastAsia="zh-CN" w:bidi="ar-SA"/>
                    </w:rPr>
                  </w:pPr>
                  <w:r>
                    <w:rPr>
                      <w:rFonts w:hint="eastAsia" w:ascii="仿宋_GB2312" w:hAnsi="宋体" w:eastAsia="仿宋_GB2312" w:cs="仿宋_GB2312"/>
                      <w:i w:val="0"/>
                      <w:iCs w:val="0"/>
                      <w:caps w:val="0"/>
                      <w:spacing w:val="0"/>
                      <w:sz w:val="24"/>
                      <w:szCs w:val="24"/>
                    </w:rPr>
                    <w:t>在招标投标、行政检查中提供虚假资料的。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093"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41</w:t>
                  </w:r>
                </w:p>
              </w:tc>
              <w:tc>
                <w:tcPr>
                  <w:tcW w:w="111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其他事项</w:t>
                  </w: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仿宋_GB2312" w:eastAsia="仿宋_GB2312" w:cs="仿宋_GB2312"/>
                      <w:b w:val="0"/>
                      <w:i w:val="0"/>
                      <w:snapToGrid/>
                      <w:color w:val="auto"/>
                      <w:kern w:val="2"/>
                      <w:sz w:val="24"/>
                      <w:szCs w:val="24"/>
                      <w:highlight w:val="none"/>
                      <w:u w:val="none"/>
                      <w:lang w:val="en-US" w:eastAsia="zh-CN"/>
                    </w:rPr>
                  </w:pPr>
                  <w:r>
                    <w:rPr>
                      <w:rFonts w:hint="eastAsia" w:ascii="仿宋_GB2312" w:hAnsi="仿宋_GB2312" w:eastAsia="仿宋_GB2312" w:cs="仿宋_GB2312"/>
                      <w:b w:val="0"/>
                      <w:i w:val="0"/>
                      <w:snapToGrid/>
                      <w:color w:val="auto"/>
                      <w:sz w:val="24"/>
                      <w:szCs w:val="24"/>
                      <w:highlight w:val="none"/>
                      <w:u w:val="none"/>
                      <w:lang w:val="en-US" w:eastAsia="zh-CN"/>
                    </w:rPr>
                    <w:t>违反交易中心有关规定且拒不服从管理和劝阻的。对工作人员进行辱骂等人身攻击行为的；故意毁坏现场设施设备的。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轻微</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32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lang w:val="en-US" w:eastAsia="zh-CN"/>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13"/>
                    <w:kinsoku/>
                    <w:autoSpaceDE/>
                    <w:autoSpaceDN w:val="0"/>
                    <w:jc w:val="both"/>
                    <w:textAlignment w:val="center"/>
                    <w:rPr>
                      <w:rFonts w:hint="eastAsia" w:ascii="仿宋_GB2312" w:hAnsi="仿宋_GB2312" w:eastAsia="仿宋_GB2312" w:cs="仿宋_GB2312"/>
                      <w:b w:val="0"/>
                      <w:i w:val="0"/>
                      <w:snapToGrid/>
                      <w:color w:val="auto"/>
                      <w:sz w:val="24"/>
                      <w:szCs w:val="24"/>
                      <w:highlight w:val="none"/>
                      <w:u w:val="none"/>
                      <w:lang w:val="en-US" w:eastAsia="zh-CN"/>
                    </w:rPr>
                  </w:pPr>
                  <w:r>
                    <w:rPr>
                      <w:rFonts w:hint="eastAsia" w:ascii="仿宋_GB2312" w:hAnsi="仿宋_GB2312" w:eastAsia="仿宋_GB2312" w:cs="仿宋_GB2312"/>
                      <w:b w:val="0"/>
                      <w:i w:val="0"/>
                      <w:snapToGrid/>
                      <w:color w:val="auto"/>
                      <w:sz w:val="24"/>
                      <w:szCs w:val="24"/>
                      <w:highlight w:val="none"/>
                      <w:u w:val="none"/>
                      <w:lang w:val="en-US" w:eastAsia="zh-CN"/>
                    </w:rPr>
                    <w:t>因招标代理机构原因，在项目注册、信息发布等环节系统回退2次及以上或开评标系统回退影响项目正常开评标的（不可抗力因素除外），未按要求正确上传相关资料的。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一般</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111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宋体" w:hAnsi="宋体" w:eastAsia="宋体" w:cs="Times New Roman"/>
                      <w:color w:val="auto"/>
                      <w:kern w:val="0"/>
                      <w:sz w:val="21"/>
                      <w:szCs w:val="21"/>
                      <w:lang w:val="en-US" w:eastAsia="zh-CN" w:bidi="ar-SA"/>
                    </w:rPr>
                  </w:pPr>
                  <w:r>
                    <w:rPr>
                      <w:rFonts w:hint="eastAsia" w:ascii="仿宋_GB2312" w:eastAsia="仿宋_GB2312" w:cs="仿宋_GB2312"/>
                      <w:color w:val="auto"/>
                      <w:sz w:val="24"/>
                      <w:szCs w:val="24"/>
                    </w:rPr>
                    <w:t>不协助、不配合相关部门依法实施的监督、检查及调查工作，或拒绝报送有关资料的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rPr>
                    <w:t>对监管检查发现问题多次整改仍不到位或拒不整改的</w:t>
                  </w:r>
                  <w:r>
                    <w:rPr>
                      <w:rFonts w:hint="eastAsia" w:ascii="仿宋_GB2312" w:eastAsia="仿宋_GB2312" w:cs="仿宋_GB2312"/>
                      <w:color w:val="auto"/>
                      <w:sz w:val="24"/>
                      <w:szCs w:val="24"/>
                      <w:lang w:eastAsia="zh-CN"/>
                    </w:rPr>
                    <w:t>。</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6"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both"/>
                    <w:rPr>
                      <w:rFonts w:hint="eastAsia" w:ascii="宋体" w:hAnsi="宋体" w:eastAsia="宋体" w:cs="Times New Roman"/>
                      <w:color w:val="auto"/>
                      <w:kern w:val="0"/>
                      <w:sz w:val="21"/>
                      <w:szCs w:val="21"/>
                      <w:lang w:val="en-US" w:eastAsia="zh-CN" w:bidi="ar-SA"/>
                    </w:rPr>
                  </w:pPr>
                  <w:r>
                    <w:rPr>
                      <w:rFonts w:hint="eastAsia" w:ascii="仿宋_GB2312" w:eastAsia="仿宋_GB2312" w:cs="仿宋_GB2312"/>
                      <w:color w:val="auto"/>
                      <w:sz w:val="24"/>
                      <w:szCs w:val="24"/>
                    </w:rPr>
                    <w:t>违反保密有关规定，擅自上传涉密信息、文件的。</w:t>
                  </w:r>
                </w:p>
              </w:tc>
              <w:tc>
                <w:tcPr>
                  <w:tcW w:w="106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sz w:val="22"/>
                      <w:szCs w:val="22"/>
                      <w:u w:val="none"/>
                      <w:lang w:val="en-US" w:eastAsia="zh-CN"/>
                    </w:rPr>
                    <w:t>严重</w:t>
                  </w:r>
                </w:p>
              </w:tc>
              <w:tc>
                <w:tcPr>
                  <w:tcW w:w="11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2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w:t>
                  </w:r>
                </w:p>
              </w:tc>
              <w:tc>
                <w:tcPr>
                  <w:tcW w:w="1110" w:type="dxa"/>
                  <w:vMerge w:val="continue"/>
                  <w:tcBorders>
                    <w:top w:val="single" w:color="auto" w:sz="4" w:space="0"/>
                    <w:left w:val="single" w:color="auto" w:sz="4" w:space="0"/>
                    <w:bottom w:val="single" w:color="auto" w:sz="4" w:space="0"/>
                    <w:right w:val="single" w:color="auto" w:sz="4" w:space="0"/>
                  </w:tcBorders>
                  <w:shd w:val="clear" w:color="auto" w:fill="auto"/>
                </w:tcPr>
                <w:p>
                  <w:pPr>
                    <w:jc w:val="center"/>
                    <w:rPr>
                      <w:rFonts w:hint="eastAsia" w:ascii="仿宋_GB2312" w:hAnsi="宋体" w:eastAsia="仿宋_GB2312" w:cs="仿宋_GB2312"/>
                      <w:i w:val="0"/>
                      <w:color w:val="000000"/>
                      <w:sz w:val="22"/>
                      <w:szCs w:val="22"/>
                      <w:u w:val="none"/>
                    </w:rPr>
                  </w:pPr>
                </w:p>
              </w:tc>
              <w:tc>
                <w:tcPr>
                  <w:tcW w:w="505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leftChars="0" w:right="0" w:rightChars="0"/>
                    <w:jc w:val="both"/>
                    <w:rPr>
                      <w:rFonts w:hint="eastAsia" w:ascii="仿宋_GB2312" w:hAnsi="宋体" w:eastAsia="仿宋_GB2312" w:cs="仿宋_GB2312"/>
                      <w:i w:val="0"/>
                      <w:iCs w:val="0"/>
                      <w:caps w:val="0"/>
                      <w:color w:val="auto"/>
                      <w:spacing w:val="0"/>
                      <w:sz w:val="24"/>
                      <w:szCs w:val="24"/>
                    </w:rPr>
                  </w:pPr>
                  <w:r>
                    <w:rPr>
                      <w:rFonts w:hint="eastAsia" w:ascii="仿宋_GB2312" w:hAnsi="仿宋_GB2312" w:eastAsia="仿宋_GB2312" w:cs="仿宋_GB2312"/>
                      <w:b w:val="0"/>
                      <w:i w:val="0"/>
                      <w:snapToGrid/>
                      <w:color w:val="auto"/>
                      <w:sz w:val="24"/>
                      <w:szCs w:val="24"/>
                      <w:highlight w:val="none"/>
                      <w:u w:val="none"/>
                      <w:lang w:val="en-US" w:eastAsia="zh-CN"/>
                    </w:rPr>
                    <w:t>因招标代理机构原因，造成不良社会影响的其他招标投标活动不规范行为。</w:t>
                  </w:r>
                </w:p>
              </w:tc>
              <w:tc>
                <w:tcPr>
                  <w:tcW w:w="106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center"/>
                    <w:textAlignment w:val="center"/>
                    <w:rPr>
                      <w:rFonts w:hint="eastAsia" w:ascii="仿宋_GB2312" w:hAnsi="宋体" w:eastAsia="仿宋_GB2312" w:cs="仿宋_GB2312"/>
                      <w:i w:val="0"/>
                      <w:color w:val="000000"/>
                      <w:sz w:val="22"/>
                      <w:szCs w:val="22"/>
                      <w:u w:val="none"/>
                      <w:lang w:val="en-US" w:eastAsia="zh-CN"/>
                    </w:rPr>
                  </w:pPr>
                  <w:r>
                    <w:rPr>
                      <w:rFonts w:hint="eastAsia" w:ascii="仿宋_GB2312" w:hAnsi="宋体" w:eastAsia="仿宋_GB2312" w:cs="仿宋_GB2312"/>
                      <w:i w:val="0"/>
                      <w:color w:val="000000"/>
                      <w:sz w:val="22"/>
                      <w:szCs w:val="22"/>
                      <w:u w:val="none"/>
                      <w:lang w:val="en-US" w:eastAsia="zh-CN"/>
                    </w:rPr>
                    <w:t>严重</w:t>
                  </w:r>
                </w:p>
              </w:tc>
              <w:tc>
                <w:tcPr>
                  <w:tcW w:w="0" w:type="auto"/>
                  <w:tcBorders>
                    <w:top w:val="single" w:color="auto" w:sz="4" w:space="0"/>
                    <w:left w:val="single" w:color="auto" w:sz="4" w:space="0"/>
                    <w:bottom w:val="single" w:color="auto" w:sz="4" w:space="0"/>
                    <w:right w:val="single" w:color="auto" w:sz="4" w:space="0"/>
                  </w:tcBorders>
                  <w:shd w:val="clear" w:color="auto" w:fill="auto"/>
                </w:tcPr>
                <w:p>
                  <w:pPr>
                    <w:rPr>
                      <w:rFonts w:hint="eastAsia" w:ascii="宋体" w:hAnsi="宋体" w:eastAsia="宋体" w:cs="宋体"/>
                      <w:i w:val="0"/>
                      <w:color w:val="000000"/>
                      <w:sz w:val="22"/>
                      <w:szCs w:val="22"/>
                      <w:u w:val="none"/>
                    </w:rPr>
                  </w:pPr>
                </w:p>
              </w:tc>
            </w:tr>
          </w:tbl>
          <w:p>
            <w:pPr>
              <w:keepNext w:val="0"/>
              <w:keepLines w:val="0"/>
              <w:widowControl/>
              <w:suppressLineNumbers w:val="0"/>
              <w:jc w:val="left"/>
              <w:textAlignment w:val="center"/>
              <w:rPr>
                <w:rFonts w:hint="eastAsia" w:ascii="黑体" w:hAnsi="黑体" w:eastAsia="黑体" w:cs="黑体"/>
                <w:color w:val="auto"/>
                <w:kern w:val="2"/>
                <w:sz w:val="32"/>
                <w:szCs w:val="32"/>
                <w:lang w:val="en-US" w:eastAsia="zh-CN" w:bidi="ar-SA"/>
              </w:rPr>
            </w:pPr>
          </w:p>
        </w:tc>
      </w:tr>
    </w:tbl>
    <w:p>
      <w:pPr>
        <w:spacing w:line="560" w:lineRule="exact"/>
        <w:jc w:val="left"/>
        <w:rPr>
          <w:rFonts w:hint="eastAsia" w:ascii="黑体" w:hAnsi="黑体" w:eastAsia="黑体" w:cs="黑体"/>
          <w:color w:val="auto"/>
          <w:sz w:val="32"/>
          <w:szCs w:val="32"/>
          <w:lang w:val="en-US" w:eastAsia="zh-CN"/>
        </w:rPr>
      </w:pPr>
    </w:p>
    <w:p>
      <w:pPr>
        <w:spacing w:line="560" w:lineRule="exact"/>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spacing w:line="560" w:lineRule="exact"/>
        <w:jc w:val="left"/>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淄博市公共资源交易中心见证不良行为函告单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u w:val="single"/>
          <w:shd w:val="clear" w:color="auto" w:fill="FFFFFF"/>
          <w:lang w:val="en-US" w:eastAsia="zh-CN" w:bidi="ar"/>
        </w:rPr>
        <w:t>监督部门名称</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我单位在项目见证过程中，发现不良行为，现将情况函告如下：</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518" w:firstLineChars="2037"/>
        <w:jc w:val="left"/>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编号：</w:t>
      </w:r>
      <w:r>
        <w:rPr>
          <w:rFonts w:hint="eastAsia" w:ascii="Times New Roman" w:hAnsi="Times New Roman" w:eastAsia="仿宋_GB2312" w:cs="仿宋_GB2312"/>
          <w:i w:val="0"/>
          <w:caps w:val="0"/>
          <w:color w:val="auto"/>
          <w:spacing w:val="0"/>
          <w:kern w:val="0"/>
          <w:sz w:val="32"/>
          <w:szCs w:val="32"/>
          <w:u w:val="single"/>
          <w:shd w:val="clear" w:color="auto" w:fill="FFFFFF"/>
          <w:lang w:val="en-US" w:eastAsia="zh-CN" w:bidi="ar"/>
        </w:rPr>
        <w:t>自行填写</w:t>
      </w:r>
    </w:p>
    <w:tbl>
      <w:tblPr>
        <w:tblStyle w:val="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2681"/>
        <w:gridCol w:w="2070"/>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21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项目名称</w:t>
            </w:r>
          </w:p>
        </w:tc>
        <w:tc>
          <w:tcPr>
            <w:tcW w:w="26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项目编号</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招标（采购）人</w:t>
            </w:r>
          </w:p>
        </w:tc>
        <w:tc>
          <w:tcPr>
            <w:tcW w:w="26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社会中介机构</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开标时间</w:t>
            </w:r>
          </w:p>
        </w:tc>
        <w:tc>
          <w:tcPr>
            <w:tcW w:w="268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预算金额</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r>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0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不良行为等级</w:t>
            </w:r>
          </w:p>
        </w:tc>
        <w:tc>
          <w:tcPr>
            <w:tcW w:w="718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2955290</wp:posOffset>
                      </wp:positionH>
                      <wp:positionV relativeFrom="paragraph">
                        <wp:posOffset>125730</wp:posOffset>
                      </wp:positionV>
                      <wp:extent cx="1038225" cy="417830"/>
                      <wp:effectExtent l="0" t="0" r="0" b="0"/>
                      <wp:wrapNone/>
                      <wp:docPr id="4" name="文本框 4"/>
                      <wp:cNvGraphicFramePr/>
                      <a:graphic xmlns:a="http://schemas.openxmlformats.org/drawingml/2006/main">
                        <a:graphicData uri="http://schemas.microsoft.com/office/word/2010/wordprocessingShape">
                          <wps:wsp>
                            <wps:cNvSpPr txBox="1"/>
                            <wps:spPr>
                              <a:xfrm flipH="1">
                                <a:off x="0" y="0"/>
                                <a:ext cx="1038225" cy="417830"/>
                              </a:xfrm>
                              <a:prstGeom prst="rect">
                                <a:avLst/>
                              </a:prstGeom>
                              <a:noFill/>
                              <a:ln>
                                <a:noFill/>
                              </a:ln>
                            </wps:spPr>
                            <wps:txbx>
                              <w:txbxContent>
                                <w:p>
                                  <w:pPr>
                                    <w:rPr>
                                      <w:rFonts w:hint="default" w:eastAsia="宋体"/>
                                      <w:lang w:val="en-US" w:eastAsia="zh-CN"/>
                                    </w:rPr>
                                  </w:pPr>
                                  <w:r>
                                    <w:rPr>
                                      <w:rFonts w:hint="eastAsia"/>
                                      <w:lang w:val="en-US" w:eastAsia="zh-CN"/>
                                    </w:rPr>
                                    <w:t>严重</w:t>
                                  </w:r>
                                </w:p>
                              </w:txbxContent>
                            </wps:txbx>
                            <wps:bodyPr upright="1"/>
                          </wps:wsp>
                        </a:graphicData>
                      </a:graphic>
                    </wp:anchor>
                  </w:drawing>
                </mc:Choice>
                <mc:Fallback>
                  <w:pict>
                    <v:shape id="_x0000_s1026" o:spid="_x0000_s1026" o:spt="202" type="#_x0000_t202" style="position:absolute;left:0pt;flip:x;margin-left:232.7pt;margin-top:9.9pt;height:32.9pt;width:81.75pt;z-index:251664384;mso-width-relative:page;mso-height-relative:page;" filled="f" stroked="f" coordsize="21600,21600" o:gfxdata="UEsFBgAAAAAAAAAAAAAAAAAAAAAAAFBLAwQKAAAAAACHTuJAAAAAAAAAAAAAAAAABAAAAGRycy9Q&#10;SwMEFAAAAAgAh07iQOSQHZHaAAAACQEAAA8AAABkcnMvZG93bnJldi54bWxNj8tOwzAQRfdI/IM1&#10;ldhRp1US0jROF0hILAKiAaks3diNo9rjKHYf/D3Dii5H9+jOudXm6iw76ykMHgUs5gkwjZ1XA/YC&#10;vj5fHgtgIUpU0nrUAn50gE19f1fJUvkLbvW5jT2jEgylFGBiHEvOQ2e0k2HuR42UHfzkZKRz6rma&#10;5IXKneXLJMm5kwPSByNH/Wx0d2xPToBqdrvs6Tg2W/OdHl7tu2rajzchHmaLZA0s6mv8h+FPn9Sh&#10;Jqe9P6EKzApI8ywllIIVTSAgXxYrYHsBRZYDryt+u6D+BVBLAwQUAAAACACHTuJAq9sjGLUBAABY&#10;AwAADgAAAGRycy9lMm9Eb2MueG1srVPBbhshEL1Xyj8g7jVrx22tldeRKivpoWorJfkAzIIXCRgE&#10;2Lv+gfYPeuql936Xv6MD6zhtcskhFwQzjzfz3sDyarCG7GWIGlxDp5OKEukEtNptG3p/d/12QUlM&#10;3LXcgJMNPchIr1YXb5a9r+UMOjCtDARJXKx739AuJV8zFkUnLY8T8NJhUkGwPOExbFkbeI/s1rBZ&#10;Vb1nPYTWBxAyRoyuxyQ9MYaXEIJSWsg1iJ2VLo2sQRqeUFLstI90VbpVSor0VakoEzENRaWprFgE&#10;95u8stWS19vAfafFqQX+khaeaLJcOyx6plrzxMku6GdUVosAEVSaCLBsFFIcQRXT6ok3tx33smhB&#10;q6M/mx5fj1Z82X8LRLcNnVPiuMWBH3/+OP76c/z9ncyzPb2PNaJuPeLS8BEGfDQP8YjBrHpQwRJl&#10;tP+UkzmCyggi0ebD2WY5JCLy9epyMZu9o0Rgbj79sLgsc2AjT77tQ0w3EizJm4YGHGNh5fvPMWFP&#10;CH2AZLiDa21MGaVx/wUQmCMsixibzbs0bIaTsg20BxS280FvOyxVpBU4Gl4KnR5Hnui/50L6+CFW&#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kkB2R2gAAAAkBAAAPAAAAAAAAAAEAIAAAADgAAABk&#10;cnMvZG93bnJldi54bWxQSwECFAAUAAAACACHTuJAq9sjGLUBAABYAwAADgAAAAAAAAABACAAAAA/&#10;AQAAZHJzL2Uyb0RvYy54bWxQSwUGAAAAAAYABgBZAQAAZgUAAAAA&#10;">
                      <v:fill on="f" focussize="0,0"/>
                      <v:stroke on="f"/>
                      <v:imagedata o:title=""/>
                      <o:lock v:ext="edit" aspectratio="f"/>
                      <v:textbox>
                        <w:txbxContent>
                          <w:p>
                            <w:pPr>
                              <w:rPr>
                                <w:rFonts w:hint="default" w:eastAsia="宋体"/>
                                <w:lang w:val="en-US" w:eastAsia="zh-CN"/>
                              </w:rPr>
                            </w:pPr>
                            <w:r>
                              <w:rPr>
                                <w:rFonts w:hint="eastAsia"/>
                                <w:lang w:val="en-US" w:eastAsia="zh-CN"/>
                              </w:rPr>
                              <w:t>严重</w:t>
                            </w:r>
                          </w:p>
                        </w:txbxContent>
                      </v:textbox>
                    </v:shape>
                  </w:pict>
                </mc:Fallback>
              </mc:AlternateContent>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1345565</wp:posOffset>
                      </wp:positionH>
                      <wp:positionV relativeFrom="paragraph">
                        <wp:posOffset>187960</wp:posOffset>
                      </wp:positionV>
                      <wp:extent cx="152400" cy="133350"/>
                      <wp:effectExtent l="4445" t="5080" r="14605" b="13970"/>
                      <wp:wrapNone/>
                      <wp:docPr id="5" name="矩形 5"/>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05.95pt;margin-top:14.8pt;height:10.5pt;width:12pt;z-index:251662336;mso-width-relative:page;mso-height-relative:page;" fillcolor="#FFFFFF" filled="t" stroked="t" coordsize="21600,21600" o:gfxdata="UEsFBgAAAAAAAAAAAAAAAAAAAAAAAFBLAwQKAAAAAACHTuJAAAAAAAAAAAAAAAAABAAAAGRycy9Q&#10;SwMEFAAAAAgAh07iQJR0PePXAAAACQEAAA8AAABkcnMvZG93bnJldi54bWxNj01Pg0AQhu8m/ofN&#10;mHizu9CUCGXpQVMTjy299DbAClR2lrBLi/56x5Pe5uPJO8/ku8UO4mom3zvSEK0UCEO1a3pqNZzK&#10;/dMzCB+QGhwcGQ1fxsOuuL/LMWvcjQ7megyt4BDyGWroQhgzKX3dGYt+5UZDvPtwk8XA7dTKZsIb&#10;h9tBxkol0mJPfKHD0bx0pv48zlZD1ccn/D6Ub8qm+3V4X8rLfH7V+vEhUlsQwSzhD4ZffVaHgp0q&#10;N1PjxaAhjqKUUS7SBAQD8XrDg0rDRiUgi1z+/6D4AVBLAwQUAAAACACHTuJANYCsB/sBAAAdBAAA&#10;DgAAAGRycy9lMm9Eb2MueG1srVNNrhMxDN4jcYcoezrTliIYdfoWlLJB8KQHB3CTzEyk/ClOO+1p&#10;kNhxCI6DuAZOWvp+YNEFs8jYifPZ32dneXOwhu1VRO1dy6eTmjPlhJfa9S3/8nnz4jVnmMBJMN6p&#10;lh8V8pvV82fLMTRq5gdvpIqMQBw2Y2j5kFJoqgrFoCzgxAfl6LDz0UIiN/aVjDASujXVrK5fVaOP&#10;MkQvFCLtrk+H/IwYrwH0XaeFWnuxs8qlE2pUBhJRwkEH5KtSbdcpkT51HarETMuJaSorJSF7m9dq&#10;tYSmjxAGLc4lwDUlPOFkQTtKeoFaQwK2i/ovKKtF9Oi7NBHeViciRRFiMa2faHM3QFCFC0mN4SI6&#10;/j9Y8XF/G5mWLV9w5sBSw399/f7zxze2yNqMARsKuQu38ewhmZnooYs2/4kCOxQ9jxc91SExQZvT&#10;xexlTUoLOprO5/NF0bu6vxwipvfKW5aNlkdqV1ER9h8wUUIK/ROSc6E3Wm60McWJ/fatiWwP1NpN&#10;+XLFdOVRmHFsbPmbxYz4CaB57WhOyLSBOKPrS75HN/AhcF2+fwHnwtaAw6mAgpDDoLE6qawWNIMC&#10;+c5Jlo6BdHX0nHguxirJmVH0+rJVIhNoc00ksTOOSOa+nDqRra2XR+riLkTdD6TjtNSbT2hqiiTn&#10;Cc9j+dAvSPevev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lHQ949cAAAAJAQAADwAAAAAAAAAB&#10;ACAAAAA4AAAAZHJzL2Rvd25yZXYueG1sUEsBAhQAFAAAAAgAh07iQDWArAf7AQAAHQQAAA4AAAAA&#10;AAAAAQAgAAAAPAEAAGRycy9lMm9Eb2MueG1sUEsFBgAAAAAGAAYAWQEAAKkFAAAAAA==&#10;">
                      <v:fill on="t" focussize="0,0"/>
                      <v:stroke color="#000000" joinstyle="miter"/>
                      <v:imagedata o:title=""/>
                      <o:lock v:ext="edit" aspectratio="f"/>
                    </v:rect>
                  </w:pict>
                </mc:Fallback>
              </mc:AlternateContent>
            </w: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2755265</wp:posOffset>
                      </wp:positionH>
                      <wp:positionV relativeFrom="paragraph">
                        <wp:posOffset>197485</wp:posOffset>
                      </wp:positionV>
                      <wp:extent cx="152400" cy="133350"/>
                      <wp:effectExtent l="4445" t="5080" r="14605" b="13970"/>
                      <wp:wrapNone/>
                      <wp:docPr id="6" name="矩形 6"/>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16.95pt;margin-top:15.55pt;height:10.5pt;width:12pt;z-index:251661312;mso-width-relative:page;mso-height-relative:page;" fillcolor="#FFFFFF" filled="t" stroked="t" coordsize="21600,21600" o:gfxdata="UEsFBgAAAAAAAAAAAAAAAAAAAAAAAFBLAwQKAAAAAACHTuJAAAAAAAAAAAAAAAAABAAAAGRycy9Q&#10;SwMEFAAAAAgAh07iQNXGsrrYAAAACQEAAA8AAABkcnMvZG93bnJldi54bWxNj7FOwzAQhnck3sE6&#10;JDZqO2mBpnE6gIrE2KYLmxNfk0BsR7HTBp6eY6Lj3X367/vz7Wx7dsYxdN4pkAsBDF3tTecaBcdy&#10;9/AMLETtjO69QwXfGGBb3N7kOjP+4vZ4PsSGUYgLmVbQxjhknIe6RavDwg/o6Hbyo9WRxrHhZtQX&#10;Crc9T4R45FZ3jj60esCXFuuvw2QVVF1y1D/78k3Y9S6N73P5OX28KnV/J8UGWMQ5/sPwp0/qUJBT&#10;5SdnAusVLNN0TaiCVEpgBCxXT7SoFKwSCbzI+XWD4hdQSwMEFAAAAAgAh07iQEFcDAX8AQAAHQQA&#10;AA4AAABkcnMvZTJvRG9jLnhtbK1Ty67TMBDdI/EPlvc0aUsriJreBaVsEFzpXj5g6jiJJb/kcZv2&#10;a5DY8RF8DuI3GDul9wGLLsgiGcfjM+ecGa9ujkazgwyonK35dFJyJq1wjbJdzb/cb1+94Qwj2Aa0&#10;s7LmJ4n8Zv3yxWrwlZy53ulGBkYgFqvB17yP0VdFgaKXBnDivLS02bpgINIydEUTYCB0o4tZWS6L&#10;wYXGByckIv3djJv8jBiuAXRtq4TcOLE30sYRNUgNkSRhrzzydWbbtlLEz22LMjJdc1Ia85uKULxL&#10;72K9gqoL4HslzhTgGgrPNBlQlopeoDYQge2D+gvKKBEcujZOhDPFKCQ7Qiqm5TNv7nrwMmshq9Ff&#10;TMf/Bys+HW4DU03Nl5xZMNTwX1+///zxjS2TN4PHilLu/G04r5DCJPTYBpO+JIEds5+ni5/yGJmg&#10;n9PF7HVJTgvams7n80X2u3g47APGD9IZloKaB2pXdhEOHzFSQUr9k5JqodOq2Sqt8yJ0u3c6sANQ&#10;a7f5SYzpyJM0bdlQ87eL2YJ4AM1rS3NCofGkGW2X6z05gY+By/z8CzgR2wD2I4GMkNKgMirK5BZU&#10;vYTmvW1YPHny1dJ14omMkQ1nWtLtS1HOjKD0NZmkTlsSmfoydiJFO9ecqIt7H1TXk4/TzDft0NRk&#10;S84Tnsby8TojPdzq9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VxrK62AAAAAkBAAAPAAAAAAAA&#10;AAEAIAAAADgAAABkcnMvZG93bnJldi54bWxQSwECFAAUAAAACACHTuJAQVwMBfwBAAAdBAAADgAA&#10;AAAAAAABACAAAAA9AQAAZHJzL2Uyb0RvYy54bWxQSwUGAAAAAAYABgBZAQAAqwUAAAAA&#10;">
                      <v:fill on="t" focussize="0,0"/>
                      <v:stroke color="#000000" joinstyle="miter"/>
                      <v:imagedata o:title=""/>
                      <o:lock v:ext="edit" aspectratio="f"/>
                    </v:rect>
                  </w:pict>
                </mc:Fallback>
              </mc:AlternateContent>
            </w: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1545590</wp:posOffset>
                      </wp:positionH>
                      <wp:positionV relativeFrom="paragraph">
                        <wp:posOffset>125730</wp:posOffset>
                      </wp:positionV>
                      <wp:extent cx="1038225" cy="417830"/>
                      <wp:effectExtent l="0" t="0" r="0" b="0"/>
                      <wp:wrapNone/>
                      <wp:docPr id="1" name="文本框 1"/>
                      <wp:cNvGraphicFramePr/>
                      <a:graphic xmlns:a="http://schemas.openxmlformats.org/drawingml/2006/main">
                        <a:graphicData uri="http://schemas.microsoft.com/office/word/2010/wordprocessingShape">
                          <wps:wsp>
                            <wps:cNvSpPr txBox="1"/>
                            <wps:spPr>
                              <a:xfrm flipH="1">
                                <a:off x="0" y="0"/>
                                <a:ext cx="1038225" cy="417830"/>
                              </a:xfrm>
                              <a:prstGeom prst="rect">
                                <a:avLst/>
                              </a:prstGeom>
                              <a:noFill/>
                              <a:ln>
                                <a:noFill/>
                              </a:ln>
                            </wps:spPr>
                            <wps:txbx>
                              <w:txbxContent>
                                <w:p>
                                  <w:pPr>
                                    <w:rPr>
                                      <w:rFonts w:hint="default" w:eastAsia="宋体"/>
                                      <w:lang w:val="en-US" w:eastAsia="zh-CN"/>
                                    </w:rPr>
                                  </w:pPr>
                                  <w:r>
                                    <w:rPr>
                                      <w:rFonts w:hint="eastAsia"/>
                                      <w:lang w:val="en-US" w:eastAsia="zh-CN"/>
                                    </w:rPr>
                                    <w:t>一般</w:t>
                                  </w:r>
                                </w:p>
                              </w:txbxContent>
                            </wps:txbx>
                            <wps:bodyPr upright="1"/>
                          </wps:wsp>
                        </a:graphicData>
                      </a:graphic>
                    </wp:anchor>
                  </w:drawing>
                </mc:Choice>
                <mc:Fallback>
                  <w:pict>
                    <v:shape id="_x0000_s1026" o:spid="_x0000_s1026" o:spt="202" type="#_x0000_t202" style="position:absolute;left:0pt;flip:x;margin-left:121.7pt;margin-top:9.9pt;height:32.9pt;width:81.75pt;z-index:251663360;mso-width-relative:page;mso-height-relative:page;" filled="f" stroked="f" coordsize="21600,21600" o:gfxdata="UEsFBgAAAAAAAAAAAAAAAAAAAAAAAFBLAwQKAAAAAACHTuJAAAAAAAAAAAAAAAAABAAAAGRycy9Q&#10;SwMEFAAAAAgAh07iQAn1ogvaAAAACQEAAA8AAABkcnMvZG93bnJldi54bWxNj8tOwzAQRfdI/IM1&#10;SOyo3ZKGNsTpAgmJRUA0IJWlG7txVHscxe6Dv+90BcvRPbpzbrk6e8eOZox9QAnTiQBmsA26x07C&#10;99frwwJYTAq1cgGNhF8TYVXd3pSq0OGEa3NsUseoBGOhJNiUhoLz2FrjVZyEwSBluzB6legcO65H&#10;daJy7/hMiJx71SN9sGowL9a0++bgJeh6s5k/7Yd6bX+y3Zv70HXz+S7l/d1UPANL5pz+YLjqkzpU&#10;5LQNB9SROQmz7DEjlIIlTSAgE/kS2FbCYp4Dr0r+f0F1AVBLAwQUAAAACACHTuJAo5qAIrQBAABY&#10;AwAADgAAAGRycy9lMm9Eb2MueG1srVPNbhshEL5X6jsg7jVrpz/WyutIkZX2ULWVkjwAZsGLBAwC&#10;7F2/QPsGPfXSe5/Lz9GB3bhNcskhFwQzH9/M9w2sLgdryEGGqME1dD6rKJFOQKvdrqF3t9dvlpTE&#10;xF3LDTjZ0KOM9HL9+tWq97VcQAemlYEgiYt17xvapeRrxqLopOVxBl46TCoIlic8hh1rA++R3Rq2&#10;qKr3rIfQ+gBCxojRzZikE2N4DiEopYXcgNhb6dLIGqThCSXFTvtI16VbpaRIX5WKMhHTUFSayopF&#10;cL/NK1uveL0L3HdaTC3w57TwSJPl2mHRM9WGJ072QT+hsloEiKDSTIBlo5DiCKqYV4+8uem4l0UL&#10;Wh392fT4crTiy+FbILrFl0CJ4xYHfvr54/Trz+n3dzLP9vQ+1oi68YhLwxUMGTrFIwaz6kEFS5TR&#10;/lNO5ggqI4hEm49nm+WQiMjXq4vlYvGOEoG5t/MPy4syBzby5Ns+xPRRgiV509CAYyys/PA5JqyN&#10;0HtIhju41saUURr3IIDAHGFZxNhs3qVhO0wKttAeUdjeB73rsFSRVuBoeCk0PY480f/PhfTfh1j/&#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BYAAABkcnMvUEsBAhQAFAAAAAgAh07iQAn1ogvaAAAACQEAAA8AAAAAAAAAAQAgAAAAOAAAAGRy&#10;cy9kb3ducmV2LnhtbFBLAQIUABQAAAAIAIdO4kCjmoAitAEAAFgDAAAOAAAAAAAAAAEAIAAAAD8B&#10;AABkcnMvZTJvRG9jLnhtbFBLBQYAAAAABgAGAFkBAABlBQAAAAA=&#10;">
                      <v:fill on="f" focussize="0,0"/>
                      <v:stroke on="f"/>
                      <v:imagedata o:title=""/>
                      <o:lock v:ext="edit" aspectratio="f"/>
                      <v:textbox>
                        <w:txbxContent>
                          <w:p>
                            <w:pPr>
                              <w:rPr>
                                <w:rFonts w:hint="default" w:eastAsia="宋体"/>
                                <w:lang w:val="en-US" w:eastAsia="zh-CN"/>
                              </w:rPr>
                            </w:pPr>
                            <w:r>
                              <w:rPr>
                                <w:rFonts w:hint="eastAsia"/>
                                <w:lang w:val="en-US" w:eastAsia="zh-CN"/>
                              </w:rPr>
                              <w:t>一般</w:t>
                            </w:r>
                          </w:p>
                        </w:txbxContent>
                      </v:textbox>
                    </v:shap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231140</wp:posOffset>
                      </wp:positionH>
                      <wp:positionV relativeFrom="paragraph">
                        <wp:posOffset>106045</wp:posOffset>
                      </wp:positionV>
                      <wp:extent cx="590550" cy="2946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90550" cy="294640"/>
                              </a:xfrm>
                              <a:prstGeom prst="rect">
                                <a:avLst/>
                              </a:prstGeom>
                              <a:noFill/>
                              <a:ln>
                                <a:noFill/>
                              </a:ln>
                            </wps:spPr>
                            <wps:txbx>
                              <w:txbxContent>
                                <w:p>
                                  <w:pPr>
                                    <w:rPr>
                                      <w:rFonts w:hint="default" w:eastAsia="宋体"/>
                                      <w:lang w:val="en-US" w:eastAsia="zh-CN"/>
                                    </w:rPr>
                                  </w:pPr>
                                  <w:r>
                                    <w:rPr>
                                      <w:rFonts w:hint="eastAsia"/>
                                      <w:lang w:val="en-US" w:eastAsia="zh-CN"/>
                                    </w:rPr>
                                    <w:t>轻微</w:t>
                                  </w:r>
                                </w:p>
                              </w:txbxContent>
                            </wps:txbx>
                            <wps:bodyPr upright="1"/>
                          </wps:wsp>
                        </a:graphicData>
                      </a:graphic>
                    </wp:anchor>
                  </w:drawing>
                </mc:Choice>
                <mc:Fallback>
                  <w:pict>
                    <v:shape id="_x0000_s1026" o:spid="_x0000_s1026" o:spt="202" type="#_x0000_t202" style="position:absolute;left:0pt;margin-left:18.2pt;margin-top:8.35pt;height:23.2pt;width:46.5pt;z-index:251660288;mso-width-relative:page;mso-height-relative:page;" filled="f" stroked="f" coordsize="21600,21600" o:gfxdata="UEsFBgAAAAAAAAAAAAAAAAAAAAAAAFBLAwQKAAAAAACHTuJAAAAAAAAAAAAAAAAABAAAAGRycy9Q&#10;SwMEFAAAAAgAh07iQKAE4oLVAAAACAEAAA8AAABkcnMvZG93bnJldi54bWxNj8FuwjAQRO+V+g/W&#10;IvVW7ABNSxqHQ6tei6AtEjcTL0lEvI5iQ9K/73Iqx50Zzb7JV6NrxQX70HjSkEwVCKTS24YqDd9f&#10;H48vIEI0ZE3rCTX8YoBVcX+Xm8z6gTZ42cZKcAmFzGioY+wyKUNZozNh6jsk9o6+dyby2VfS9mbg&#10;ctfKmVKpdKYh/lCbDt9qLE/bs9Pw83nc7xZqXb27p27wo5LkllLrh0miXkFEHON/GK74jA4FMx38&#10;mWwQrYZ5uuAk6+kziKs/W7Jw0JDOE5BFLm8HFH9QSwMEFAAAAAgAh07iQMM9/dmtAQAATQMAAA4A&#10;AABkcnMvZTJvRG9jLnhtbK1TQW7bMBC8F+gfCN5rKkIcNILlAIGRXoq2QNoH0BRlESC5BJe25A+0&#10;P+ipl977Lr+jS9px0vSSQy4UuTua3ZklFzeTs2ynIxrwLb+YVZxpr6AzftPyb1/v3r3nDJP0nbTg&#10;dcv3GvnN8u2bxRgaXcMAttOREYnHZgwtH1IKjRCoBu0kziBoT8keopOJjnEjuihHYndW1FV1JUaI&#10;XYigNCJFV8ckPzHGlxBC3xulV6C2Tvt0ZI3aykSScDAB+bJ02/dapc99jzox23JSmspKRWi/zqtY&#10;LmSziTIMRp1akC9p4ZkmJ42nomeqlUySbaP5j8oZFQGhTzMFThyFFEdIxUX1zJv7QQZdtJDVGM6m&#10;4+vRqk+7L5GZruU1Z146Gvjh54/Drz+H399Zne0ZAzaEug+ES9MtTHRpHuJIwax66qPLX9LDKE/m&#10;7s/m6ikxRcH5dTWfU0ZRqr6+vLos5ovHn0PE9EGDY3nT8kizK5bK3UdM1AhBHyC5loc7Y22Zn/X/&#10;BAiYIyJ3fuww79K0nk5y1tDtSc02RLMZqFTRU+Dkcil0uhF5jE/PhfTxFS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KAE4oLVAAAACAEAAA8AAAAAAAAAAQAgAAAAOAAAAGRycy9kb3ducmV2Lnht&#10;bFBLAQIUABQAAAAIAIdO4kDDPf3ZrQEAAE0DAAAOAAAAAAAAAAEAIAAAADoBAABkcnMvZTJvRG9j&#10;LnhtbFBLBQYAAAAABgAGAFkBAABZBQAAAAA=&#10;">
                      <v:fill on="f" focussize="0,0"/>
                      <v:stroke on="f"/>
                      <v:imagedata o:title=""/>
                      <o:lock v:ext="edit" aspectratio="f"/>
                      <v:textbox>
                        <w:txbxContent>
                          <w:p>
                            <w:pPr>
                              <w:rPr>
                                <w:rFonts w:hint="default" w:eastAsia="宋体"/>
                                <w:lang w:val="en-US" w:eastAsia="zh-CN"/>
                              </w:rPr>
                            </w:pPr>
                            <w:r>
                              <w:rPr>
                                <w:rFonts w:hint="eastAsia"/>
                                <w:lang w:val="en-US" w:eastAsia="zh-CN"/>
                              </w:rPr>
                              <w:t>轻微</w:t>
                            </w:r>
                          </w:p>
                        </w:txbxContent>
                      </v:textbox>
                    </v:shape>
                  </w:pict>
                </mc:Fallback>
              </mc:AlternateContent>
            </w:r>
            <w:r>
              <w:rPr>
                <w:color w:val="auto"/>
                <w:sz w:val="24"/>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187960</wp:posOffset>
                      </wp:positionV>
                      <wp:extent cx="152400" cy="133350"/>
                      <wp:effectExtent l="4445" t="5080" r="14605" b="13970"/>
                      <wp:wrapNone/>
                      <wp:docPr id="3" name="矩形 3"/>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2pt;margin-top:14.8pt;height:10.5pt;width:12pt;z-index:251659264;mso-width-relative:page;mso-height-relative:page;" fillcolor="#FFFFFF" filled="t" stroked="t" coordsize="21600,21600" o:gfxdata="UEsFBgAAAAAAAAAAAAAAAAAAAAAAAFBLAwQKAAAAAACHTuJAAAAAAAAAAAAAAAAABAAAAGRycy9Q&#10;SwMEFAAAAAgAh07iQHNeINnUAAAABgEAAA8AAABkcnMvZG93bnJldi54bWxNjsFOwzAQRO9I/IO1&#10;SNyo3RQiGuL0ACoSxza9cNvEJgnE6yh22rRfz3Kix9GM3rx8M7teHO0YOk8algsFwlLtTUeNhkO5&#10;fXgGESKSwd6T1XC2ATbF7U2OmfEn2tnjPjaCIRQy1NDGOGRShrq1DsPCD5a4+/Kjw8hxbKQZ8cRw&#10;18tEqVQ67IgfWhzsa2vrn/3kNFRdcsDLrnxXbr1dxY+5/J4+37S+v1uqFxDRzvF/DH/6rA4FO1V+&#10;IhNEryF95KGGZJ2C4HqlOFcanlQKssjltX7xC1BLAwQUAAAACACHTuJA3TjtAvsBAAAdBAAADgAA&#10;AGRycy9lMm9Eb2MueG1srVPLrtMwEN0j8Q+W9zRpSxFETe+CUjYIrnThA6a2k1jySx63ab8GiR0f&#10;wecgfoOxW3ofsOiCLJJxPD5zzpnx8uZgDduriNq7lk8nNWfKCS+161v+5fPmxWvOMIGTYLxTLT8q&#10;5Der58+WY2jUzA/eSBUZgThsxtDyIaXQVBWKQVnAiQ/K0Wbno4VEy9hXMsJI6NZUs7p+VY0+yhC9&#10;UIj0d33a5GfEeA2g7zot1NqLnVUunVCjMpBIEg46IF8Vtl2nRPrUdagSMy0npam8qQjF2/yuVkto&#10;+ghh0OJMAa6h8ESTBe2o6AVqDQnYLuq/oKwW0aPv0kR4W52EFEdIxbR+4s3dAEEVLWQ1hovp+P9g&#10;xcf9bWRatnzOmQNLDf/19fvPH9/YPHszBmwo5S7cxvMKKcxCD120+UsS2KH4ebz4qQ6JCfo5Xcxe&#10;1uS0oK3pfD5fFL+r+8MhYnqvvGU5aHmkdhUXYf8BExWk1D8puRZ6o+VGG1MWsd++NZHtgVq7KU9m&#10;TEcepRnHxpa/WcwWxANoXjuaEwptIM3o+lLv0Ql8CFyX51/AmdgacDgRKAg5DRqrk8puQTMokO+c&#10;ZOkYyFdH14lnMlZJzoyi25ejkplAm2sySZ1xJDL35dSJHG29PFIXdyHqfiAfp4Vv3qGpKZacJzyP&#10;5cN1Qbq/1a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c14g2dQAAAAGAQAADwAAAAAAAAABACAA&#10;AAA4AAAAZHJzL2Rvd25yZXYueG1sUEsBAhQAFAAAAAgAh07iQN047QL7AQAAHQQAAA4AAAAAAAAA&#10;AQAgAAAAOQEAAGRycy9lMm9Eb2MueG1sUEsFBgAAAAAGAAYAWQEAAKYFAAAAAA==&#10;">
                      <v:fill on="t" focussize="0,0"/>
                      <v:stroke color="#000000" joinstyle="miter"/>
                      <v:imagedata o:title=""/>
                      <o:lock v:ext="edit" aspectratio="f"/>
                    </v:rect>
                  </w:pict>
                </mc:Fallback>
              </mc:AlternateContent>
            </w:r>
            <w:r>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r>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trPr>
        <w:tc>
          <w:tcPr>
            <w:tcW w:w="9288" w:type="dxa"/>
            <w:gridSpan w:val="4"/>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不良行为情况：</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default" w:ascii="Times New Roman" w:hAnsi="Times New Roman" w:eastAsia="仿宋_GB2312" w:cs="仿宋_GB2312"/>
                <w:i w:val="0"/>
                <w:caps w:val="0"/>
                <w:color w:val="auto"/>
                <w:spacing w:val="0"/>
                <w:kern w:val="0"/>
                <w:sz w:val="32"/>
                <w:szCs w:val="32"/>
                <w:shd w:val="clear" w:color="auto" w:fill="FFFFFF"/>
                <w:vertAlign w:val="baseli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处理意见请反馈至相关邮箱（</w:t>
      </w:r>
      <w:r>
        <w:rPr>
          <w:rFonts w:hint="eastAsia" w:ascii="Times New Roman" w:hAnsi="Times New Roman" w:eastAsia="仿宋_GB2312" w:cs="仿宋_GB2312"/>
          <w:i w:val="0"/>
          <w:caps w:val="0"/>
          <w:color w:val="auto"/>
          <w:spacing w:val="0"/>
          <w:kern w:val="0"/>
          <w:sz w:val="32"/>
          <w:szCs w:val="32"/>
          <w:u w:val="single"/>
          <w:shd w:val="clear" w:color="auto" w:fill="FFFFFF"/>
          <w:lang w:val="en-US" w:eastAsia="zh-CN" w:bidi="ar"/>
        </w:rPr>
        <w:t>邮箱名称</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），市公共资源交易中心将于10个工作日后跟踪函告处理情况。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注：如有其他材料可附件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xml:space="preserve">                               单位落款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xml:space="preserve">                                    年     月   日</w:t>
      </w:r>
    </w:p>
    <w:p>
      <w:pPr>
        <w:spacing w:line="560" w:lineRule="exact"/>
        <w:jc w:val="lef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黑体" w:hAnsi="黑体" w:eastAsia="黑体" w:cs="黑体"/>
          <w:i w:val="0"/>
          <w:caps w:val="0"/>
          <w:color w:val="auto"/>
          <w:spacing w:val="0"/>
          <w:kern w:val="0"/>
          <w:sz w:val="44"/>
          <w:szCs w:val="44"/>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淄博市公共资源交易中心见证不良行为抄告单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u w:val="none"/>
          <w:shd w:val="clear" w:color="auto" w:fill="FFFFFF"/>
          <w:lang w:val="en-US" w:eastAsia="zh-CN" w:bidi="ar"/>
        </w:rPr>
        <w:t>监督科</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在项目见证过程中，发现不良行为，现将情况抄告如下：</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518" w:firstLineChars="2037"/>
        <w:jc w:val="left"/>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编号：</w:t>
      </w:r>
      <w:r>
        <w:rPr>
          <w:rFonts w:hint="eastAsia" w:ascii="Times New Roman" w:hAnsi="Times New Roman" w:eastAsia="仿宋_GB2312" w:cs="仿宋_GB2312"/>
          <w:i w:val="0"/>
          <w:caps w:val="0"/>
          <w:color w:val="auto"/>
          <w:spacing w:val="0"/>
          <w:kern w:val="0"/>
          <w:sz w:val="32"/>
          <w:szCs w:val="32"/>
          <w:u w:val="single"/>
          <w:shd w:val="clear" w:color="auto" w:fill="FFFFFF"/>
          <w:lang w:val="en-US" w:eastAsia="zh-CN" w:bidi="ar"/>
        </w:rPr>
        <w:t>自行填写</w:t>
      </w:r>
    </w:p>
    <w:tbl>
      <w:tblPr>
        <w:tblStyle w:val="7"/>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4"/>
        <w:gridCol w:w="2663"/>
        <w:gridCol w:w="2070"/>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21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项目名称</w:t>
            </w:r>
          </w:p>
        </w:tc>
        <w:tc>
          <w:tcPr>
            <w:tcW w:w="26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项目编号</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1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招标（采购）人</w:t>
            </w:r>
          </w:p>
        </w:tc>
        <w:tc>
          <w:tcPr>
            <w:tcW w:w="26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社会中介机构</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开标时间</w:t>
            </w:r>
          </w:p>
        </w:tc>
        <w:tc>
          <w:tcPr>
            <w:tcW w:w="26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c>
          <w:tcPr>
            <w:tcW w:w="207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预算金额</w:t>
            </w:r>
          </w:p>
        </w:tc>
        <w:tc>
          <w:tcPr>
            <w:tcW w:w="243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12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不良行为等级</w:t>
            </w:r>
          </w:p>
        </w:tc>
        <w:tc>
          <w:tcPr>
            <w:tcW w:w="7164"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2955290</wp:posOffset>
                      </wp:positionH>
                      <wp:positionV relativeFrom="paragraph">
                        <wp:posOffset>125730</wp:posOffset>
                      </wp:positionV>
                      <wp:extent cx="1038225" cy="417830"/>
                      <wp:effectExtent l="0" t="0" r="0" b="0"/>
                      <wp:wrapNone/>
                      <wp:docPr id="9" name="文本框 9"/>
                      <wp:cNvGraphicFramePr/>
                      <a:graphic xmlns:a="http://schemas.openxmlformats.org/drawingml/2006/main">
                        <a:graphicData uri="http://schemas.microsoft.com/office/word/2010/wordprocessingShape">
                          <wps:wsp>
                            <wps:cNvSpPr txBox="1"/>
                            <wps:spPr>
                              <a:xfrm flipH="1">
                                <a:off x="0" y="0"/>
                                <a:ext cx="1038225" cy="417830"/>
                              </a:xfrm>
                              <a:prstGeom prst="rect">
                                <a:avLst/>
                              </a:prstGeom>
                              <a:noFill/>
                              <a:ln>
                                <a:noFill/>
                              </a:ln>
                            </wps:spPr>
                            <wps:txbx>
                              <w:txbxContent>
                                <w:p>
                                  <w:pPr>
                                    <w:rPr>
                                      <w:rFonts w:hint="default" w:eastAsia="宋体"/>
                                      <w:lang w:val="en-US" w:eastAsia="zh-CN"/>
                                    </w:rPr>
                                  </w:pPr>
                                  <w:r>
                                    <w:rPr>
                                      <w:rFonts w:hint="eastAsia"/>
                                      <w:lang w:val="en-US" w:eastAsia="zh-CN"/>
                                    </w:rPr>
                                    <w:t>严重</w:t>
                                  </w:r>
                                </w:p>
                              </w:txbxContent>
                            </wps:txbx>
                            <wps:bodyPr upright="1"/>
                          </wps:wsp>
                        </a:graphicData>
                      </a:graphic>
                    </wp:anchor>
                  </w:drawing>
                </mc:Choice>
                <mc:Fallback>
                  <w:pict>
                    <v:shape id="_x0000_s1026" o:spid="_x0000_s1026" o:spt="202" type="#_x0000_t202" style="position:absolute;left:0pt;flip:x;margin-left:232.7pt;margin-top:9.9pt;height:32.9pt;width:81.75pt;z-index:251670528;mso-width-relative:page;mso-height-relative:page;" filled="f" stroked="f" coordsize="21600,21600" o:gfxdata="UEsFBgAAAAAAAAAAAAAAAAAAAAAAAFBLAwQKAAAAAACHTuJAAAAAAAAAAAAAAAAABAAAAGRycy9Q&#10;SwMEFAAAAAgAh07iQOSQHZHaAAAACQEAAA8AAABkcnMvZG93bnJldi54bWxNj8tOwzAQRfdI/IM1&#10;ldhRp1US0jROF0hILAKiAaks3diNo9rjKHYf/D3Dii5H9+jOudXm6iw76ykMHgUs5gkwjZ1XA/YC&#10;vj5fHgtgIUpU0nrUAn50gE19f1fJUvkLbvW5jT2jEgylFGBiHEvOQ2e0k2HuR42UHfzkZKRz6rma&#10;5IXKneXLJMm5kwPSByNH/Wx0d2xPToBqdrvs6Tg2W/OdHl7tu2rajzchHmaLZA0s6mv8h+FPn9Sh&#10;Jqe9P6EKzApI8ywllIIVTSAgXxYrYHsBRZYDryt+u6D+BVBLAwQUAAAACACHTuJAyZsYl7UBAABY&#10;AwAADgAAAGRycy9lMm9Eb2MueG1srVNLjhMxEN0jcQfLe9KdDJ9MK52RUDSwQIA0cADHbact2S7L&#10;5aQ7F4AbsGLDnnPlHJTdmQDDZhZsLLvq+VW9V/bqZnSWHVREA77l81nNmfISOuN3Lf/86fbZkjNM&#10;wnfCglctPyrkN+unT1ZDaNQCerCdioxIPDZDaHmfUmiqCmWvnMAZBOUpqSE6kegYd1UXxUDszlaL&#10;un5ZDRC7EEEqRIpupiQ/M8bHEILWRqoNyL1TPk2sUVmRSBL2JiBfl261VjJ90BpVYrblpDSVlYrQ&#10;fpvXar0SzS6K0Bt5bkE8poUHmpwwnopeqDYiCbaP5h8qZ2QEBJ1mElw1CSmOkIp5/cCbu14EVbSQ&#10;1RgupuP/o5XvDx8jM13LrznzwtHAT9++nr7/PP34wq6zPUPAhlB3gXBpfA0jPZr7OFIwqx51dExb&#10;E97mZI6QMkZIsvl4sVmNicl8vb5aLhYvOJOUez5/tbwqc6gmnnw7RExvFDiWNy2PNMbCKg7vMFFP&#10;BL2HZLiHW2NtGaX1fwUImCNVFjE1m3dp3I5nZVvojiRsH6LZ9VSqSCtwMrwUOj+OPNE/z4X094dY&#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kkB2R2gAAAAkBAAAPAAAAAAAAAAEAIAAAADgAAABk&#10;cnMvZG93bnJldi54bWxQSwECFAAUAAAACACHTuJAyZsYl7UBAABYAwAADgAAAAAAAAABACAAAAA/&#10;AQAAZHJzL2Uyb0RvYy54bWxQSwUGAAAAAAYABgBZAQAAZgUAAAAA&#10;">
                      <v:fill on="f" focussize="0,0"/>
                      <v:stroke on="f"/>
                      <v:imagedata o:title=""/>
                      <o:lock v:ext="edit" aspectratio="f"/>
                      <v:textbox>
                        <w:txbxContent>
                          <w:p>
                            <w:pPr>
                              <w:rPr>
                                <w:rFonts w:hint="default" w:eastAsia="宋体"/>
                                <w:lang w:val="en-US" w:eastAsia="zh-CN"/>
                              </w:rPr>
                            </w:pPr>
                            <w:r>
                              <w:rPr>
                                <w:rFonts w:hint="eastAsia"/>
                                <w:lang w:val="en-US" w:eastAsia="zh-CN"/>
                              </w:rPr>
                              <w:t>严重</w:t>
                            </w:r>
                          </w:p>
                        </w:txbxContent>
                      </v:textbox>
                    </v:shape>
                  </w:pict>
                </mc:Fallback>
              </mc:AlternateContent>
            </w: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1345565</wp:posOffset>
                      </wp:positionH>
                      <wp:positionV relativeFrom="paragraph">
                        <wp:posOffset>187960</wp:posOffset>
                      </wp:positionV>
                      <wp:extent cx="152400" cy="133350"/>
                      <wp:effectExtent l="4445" t="5080" r="14605" b="13970"/>
                      <wp:wrapNone/>
                      <wp:docPr id="8" name="矩形 8"/>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105.95pt;margin-top:14.8pt;height:10.5pt;width:12pt;z-index:251668480;mso-width-relative:page;mso-height-relative:page;" fillcolor="#FFFFFF" filled="t" stroked="t" coordsize="21600,21600" o:gfxdata="UEsFBgAAAAAAAAAAAAAAAAAAAAAAAFBLAwQKAAAAAACHTuJAAAAAAAAAAAAAAAAABAAAAGRycy9Q&#10;SwMEFAAAAAgAh07iQJR0PePXAAAACQEAAA8AAABkcnMvZG93bnJldi54bWxNj01Pg0AQhu8m/ofN&#10;mHizu9CUCGXpQVMTjy299DbAClR2lrBLi/56x5Pe5uPJO8/ku8UO4mom3zvSEK0UCEO1a3pqNZzK&#10;/dMzCB+QGhwcGQ1fxsOuuL/LMWvcjQ7megyt4BDyGWroQhgzKX3dGYt+5UZDvPtwk8XA7dTKZsIb&#10;h9tBxkol0mJPfKHD0bx0pv48zlZD1ccn/D6Ub8qm+3V4X8rLfH7V+vEhUlsQwSzhD4ZffVaHgp0q&#10;N1PjxaAhjqKUUS7SBAQD8XrDg0rDRiUgi1z+/6D4AVBLAwQUAAAACACHTuJAyUWwDPwBAAAdBAAA&#10;DgAAAGRycy9lMm9Eb2MueG1srVNLjhMxEN0jcQfLe6Y7CUFDK51ZEMIGwUgzHKBiu7st+SeXk05O&#10;g8SOQ3AcxDUoOyHzgUUW9KK73C6/eu9VeXGzt4btVETtXcsnVzVnygkvtetb/uV+/eqaM0zgJBjv&#10;VMsPCvnN8uWLxRgaNfWDN1JFRiAOmzG0fEgpNFWFYlAW8MoH5Wiz89FComXsKxlhJHRrqmldv6lG&#10;H2WIXihE+rs6bvITYrwE0HedFmrlxdYql46oURlIJAkHHZAvC9uuUyJ97jpUiZmWk9JU3lSE4k1+&#10;V8sFNH2EMGhxogCXUHimyYJ2VPQMtYIEbBv1X1BWi+jRd+lKeFsdhRRHSMWkfubN3QBBFS1kNYaz&#10;6fj/YMWn3W1kWrac2u7AUsN/ff3+88c3dp29GQM2lHIXbuNphRRmofsu2vwlCWxf/Dyc/VT7xAT9&#10;nMynr2tyWtDWZDabzYvf1cPhEDF9UN6yHLQ8UruKi7D7iIkKUuqflFwLvdFyrY0pi9hv3pnIdkCt&#10;XZcnM6YjT9KMY2PL386nc+IBNK8dzQmFNpBmdH2p9+QEPgauy/Mv4ExsBTgcCRSEnAaN1Ullt6AZ&#10;FMj3TrJ0COSro+vEMxmrJGdG0e3LUclMoM0lmaTOOBKZ+3LsRI42Xh6oi9sQdT+Qj5PCN+/Q1BRL&#10;ThOex/LxuiA93Or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JR0PePXAAAACQEAAA8AAAAAAAAA&#10;AQAgAAAAOAAAAGRycy9kb3ducmV2LnhtbFBLAQIUABQAAAAIAIdO4kDJRbAM/AEAAB0EAAAOAAAA&#10;AAAAAAEAIAAAADwBAABkcnMvZTJvRG9jLnhtbFBLBQYAAAAABgAGAFkBAACqBQAAAAA=&#10;">
                      <v:fill on="t" focussize="0,0"/>
                      <v:stroke color="#000000" joinstyle="miter"/>
                      <v:imagedata o:title=""/>
                      <o:lock v:ext="edit" aspectratio="f"/>
                    </v:rect>
                  </w:pict>
                </mc:Fallback>
              </mc:AlternateContent>
            </w: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2755265</wp:posOffset>
                      </wp:positionH>
                      <wp:positionV relativeFrom="paragraph">
                        <wp:posOffset>197485</wp:posOffset>
                      </wp:positionV>
                      <wp:extent cx="152400" cy="133350"/>
                      <wp:effectExtent l="4445" t="5080" r="14605" b="13970"/>
                      <wp:wrapNone/>
                      <wp:docPr id="11" name="矩形 11"/>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16.95pt;margin-top:15.55pt;height:10.5pt;width:12pt;z-index:251667456;mso-width-relative:page;mso-height-relative:page;" fillcolor="#FFFFFF" filled="t" stroked="t" coordsize="21600,21600" o:gfxdata="UEsFBgAAAAAAAAAAAAAAAAAAAAAAAFBLAwQKAAAAAACHTuJAAAAAAAAAAAAAAAAABAAAAGRycy9Q&#10;SwMEFAAAAAgAh07iQNXGsrrYAAAACQEAAA8AAABkcnMvZG93bnJldi54bWxNj7FOwzAQhnck3sE6&#10;JDZqO2mBpnE6gIrE2KYLmxNfk0BsR7HTBp6eY6Lj3X367/vz7Wx7dsYxdN4pkAsBDF3tTecaBcdy&#10;9/AMLETtjO69QwXfGGBb3N7kOjP+4vZ4PsSGUYgLmVbQxjhknIe6RavDwg/o6Hbyo9WRxrHhZtQX&#10;Crc9T4R45FZ3jj60esCXFuuvw2QVVF1y1D/78k3Y9S6N73P5OX28KnV/J8UGWMQ5/sPwp0/qUJBT&#10;5SdnAusVLNN0TaiCVEpgBCxXT7SoFKwSCbzI+XWD4hdQSwMEFAAAAAgAh07iQCwwMqP8AQAAHwQA&#10;AA4AAABkcnMvZTJvRG9jLnhtbK1TTa4TMQzeI3GHKHs605YiGHX6FpSyQfCkBwdwk8xMpPwpTjvt&#10;aZDYcQiOg7gGTlr6fmDRBbPI2Inz2d9nZ3lzsIbtVUTtXcunk5oz5YSX2vUt//J58+I1Z5jASTDe&#10;qZYfFfKb1fNnyzE0auYHb6SKjEAcNmNo+ZBSaKoKxaAs4MQH5eiw89FCIjf2lYwwEro11ayuX1Wj&#10;jzJELxQi7a5Ph/yMGK8B9F2nhVp7sbPKpRNqVAYSUcJBB+SrUm3XKZE+dR2qxEzLiWkqKyUhe5vX&#10;arWEpo8QBi3OJcA1JTzhZEE7SnqBWkMCtov6LyirRfTouzQR3lYnIkURYjGtn2hzN0BQhQtJjeEi&#10;Ov4/WPFxfxuZljQJU84cWOr4r6/ff/74xmiD1BkDNhR0F27j2UMyM9VDF23+Ewl2KIoeL4qqQ2KC&#10;NqeL2cuatBZ0NJ3P54uieHV/OURM75W3LBstj9SwoiPsP2CihBT6JyTnQm+03GhjihP77VsT2R6o&#10;uZvy5YrpyqMw49jY8jeL2YLqAJrYjiaFTBuINbq+5Ht0Ax8C1+X7F3AubA04nAooCDkMGquTympB&#10;MyiQ75xk6RhIWEcPiudirJKcGUXvL1slMoE210QSO+OIZO7LqRPZ2np5pD7uQtT9QDqW1pUYmpsi&#10;yXnG82A+9AvS/bte/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VxrK62AAAAAkBAAAPAAAAAAAA&#10;AAEAIAAAADgAAABkcnMvZG93bnJldi54bWxQSwECFAAUAAAACACHTuJALDAyo/wBAAAfBAAADgAA&#10;AAAAAAABACAAAAA9AQAAZHJzL2Uyb0RvYy54bWxQSwUGAAAAAAYABgBZAQAAqwUAAAAA&#10;">
                      <v:fill on="t" focussize="0,0"/>
                      <v:stroke color="#000000" joinstyle="miter"/>
                      <v:imagedata o:title=""/>
                      <o:lock v:ext="edit" aspectratio="f"/>
                    </v:rect>
                  </w:pict>
                </mc:Fallback>
              </mc:AlternateContent>
            </w:r>
            <w:r>
              <w:rPr>
                <w:color w:val="auto"/>
                <w:sz w:val="24"/>
              </w:rPr>
              <mc:AlternateContent>
                <mc:Choice Requires="wps">
                  <w:drawing>
                    <wp:anchor distT="0" distB="0" distL="114300" distR="114300" simplePos="0" relativeHeight="251669504" behindDoc="0" locked="0" layoutInCell="1" allowOverlap="1">
                      <wp:simplePos x="0" y="0"/>
                      <wp:positionH relativeFrom="column">
                        <wp:posOffset>1545590</wp:posOffset>
                      </wp:positionH>
                      <wp:positionV relativeFrom="paragraph">
                        <wp:posOffset>125730</wp:posOffset>
                      </wp:positionV>
                      <wp:extent cx="1038225" cy="417830"/>
                      <wp:effectExtent l="0" t="0" r="0" b="0"/>
                      <wp:wrapNone/>
                      <wp:docPr id="12" name="文本框 12"/>
                      <wp:cNvGraphicFramePr/>
                      <a:graphic xmlns:a="http://schemas.openxmlformats.org/drawingml/2006/main">
                        <a:graphicData uri="http://schemas.microsoft.com/office/word/2010/wordprocessingShape">
                          <wps:wsp>
                            <wps:cNvSpPr txBox="1"/>
                            <wps:spPr>
                              <a:xfrm flipH="1">
                                <a:off x="0" y="0"/>
                                <a:ext cx="1038225" cy="417830"/>
                              </a:xfrm>
                              <a:prstGeom prst="rect">
                                <a:avLst/>
                              </a:prstGeom>
                              <a:noFill/>
                              <a:ln>
                                <a:noFill/>
                              </a:ln>
                            </wps:spPr>
                            <wps:txbx>
                              <w:txbxContent>
                                <w:p>
                                  <w:pPr>
                                    <w:rPr>
                                      <w:rFonts w:hint="default" w:eastAsia="宋体"/>
                                      <w:lang w:val="en-US" w:eastAsia="zh-CN"/>
                                    </w:rPr>
                                  </w:pPr>
                                  <w:r>
                                    <w:rPr>
                                      <w:rFonts w:hint="eastAsia"/>
                                      <w:lang w:val="en-US" w:eastAsia="zh-CN"/>
                                    </w:rPr>
                                    <w:t>一般</w:t>
                                  </w:r>
                                </w:p>
                              </w:txbxContent>
                            </wps:txbx>
                            <wps:bodyPr upright="1"/>
                          </wps:wsp>
                        </a:graphicData>
                      </a:graphic>
                    </wp:anchor>
                  </w:drawing>
                </mc:Choice>
                <mc:Fallback>
                  <w:pict>
                    <v:shape id="_x0000_s1026" o:spid="_x0000_s1026" o:spt="202" type="#_x0000_t202" style="position:absolute;left:0pt;flip:x;margin-left:121.7pt;margin-top:9.9pt;height:32.9pt;width:81.75pt;z-index:251669504;mso-width-relative:page;mso-height-relative:page;" filled="f" stroked="f" coordsize="21600,21600" o:gfxdata="UEsFBgAAAAAAAAAAAAAAAAAAAAAAAFBLAwQKAAAAAACHTuJAAAAAAAAAAAAAAAAABAAAAGRycy9Q&#10;SwMEFAAAAAgAh07iQAn1ogvaAAAACQEAAA8AAABkcnMvZG93bnJldi54bWxNj8tOwzAQRfdI/IM1&#10;SOyo3ZKGNsTpAgmJRUA0IJWlG7txVHscxe6Dv+90BcvRPbpzbrk6e8eOZox9QAnTiQBmsA26x07C&#10;99frwwJYTAq1cgGNhF8TYVXd3pSq0OGEa3NsUseoBGOhJNiUhoLz2FrjVZyEwSBluzB6legcO65H&#10;daJy7/hMiJx71SN9sGowL9a0++bgJeh6s5k/7Yd6bX+y3Zv70HXz+S7l/d1UPANL5pz+YLjqkzpU&#10;5LQNB9SROQmz7DEjlIIlTSAgE/kS2FbCYp4Dr0r+f0F1AVBLAwQUAAAACACHTuJA+Ik+K7UBAABa&#10;AwAADgAAAGRycy9lMm9Eb2MueG1srVPBbhshEL1X6j8g7jXrTdpaK68jRVbSQ9VWSvsBmAUvEjAI&#10;sHf9A+0f9NRL7/0uf0cH1nGb5JJDLghmHm/mvYHl1WgN2csQNbiWzmcVJdIJ6LTbtvTb15s3C0pi&#10;4q7jBpxs6UFGerV6/Wo5+EbW0IPpZCBI4mIz+Jb2KfmGsSh6aXmcgZcOkwqC5QmPYcu6wAdkt4bV&#10;VfWODRA6H0DIGDG6npL0xBieQwhKaSHXIHZWujSxBml4Qkmx1z7SVelWKSnSZ6WiTMS0FJWmsmIR&#10;3G/yylZL3mwD970Wpxb4c1p4pMly7bDomWrNEye7oJ9QWS0CRFBpJsCySUhxBFXMq0fe3PXcy6IF&#10;rY7+bHp8OVrxaf8lEN3hS6gpcdzixI8/fxx//Tn+/k4whgYNPjaIu/OITOM1jAi+j0cMZt2jCpYo&#10;o/2HnMwR1EYQiUYfzkbLMRGRr1cXi7p+S4nA3OX8/eKiTIJNPPm2DzHdSrAkb1oacJCFle8/xoQ9&#10;IfQekuEObrQxZZjGPQggMEdYFjE1m3dp3IwnZRvoDihs54Pe9liqSCtwtLwUOj2PPNP/z4X035dY&#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AJ9aIL2gAAAAkBAAAPAAAAAAAAAAEAIAAAADgAAABk&#10;cnMvZG93bnJldi54bWxQSwECFAAUAAAACACHTuJA+Ik+K7UBAABaAwAADgAAAAAAAAABACAAAAA/&#10;AQAAZHJzL2Uyb0RvYy54bWxQSwUGAAAAAAYABgBZAQAAZgUAAAAA&#10;">
                      <v:fill on="f" focussize="0,0"/>
                      <v:stroke on="f"/>
                      <v:imagedata o:title=""/>
                      <o:lock v:ext="edit" aspectratio="f"/>
                      <v:textbox>
                        <w:txbxContent>
                          <w:p>
                            <w:pPr>
                              <w:rPr>
                                <w:rFonts w:hint="default" w:eastAsia="宋体"/>
                                <w:lang w:val="en-US" w:eastAsia="zh-CN"/>
                              </w:rPr>
                            </w:pPr>
                            <w:r>
                              <w:rPr>
                                <w:rFonts w:hint="eastAsia"/>
                                <w:lang w:val="en-US" w:eastAsia="zh-CN"/>
                              </w:rPr>
                              <w:t>一般</w:t>
                            </w:r>
                          </w:p>
                        </w:txbxContent>
                      </v:textbox>
                    </v:shape>
                  </w:pict>
                </mc:Fallback>
              </mc:AlternateContent>
            </w: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231140</wp:posOffset>
                      </wp:positionH>
                      <wp:positionV relativeFrom="paragraph">
                        <wp:posOffset>106045</wp:posOffset>
                      </wp:positionV>
                      <wp:extent cx="681990" cy="29464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681990" cy="294640"/>
                              </a:xfrm>
                              <a:prstGeom prst="rect">
                                <a:avLst/>
                              </a:prstGeom>
                              <a:noFill/>
                              <a:ln>
                                <a:noFill/>
                              </a:ln>
                            </wps:spPr>
                            <wps:txbx>
                              <w:txbxContent>
                                <w:p>
                                  <w:pPr>
                                    <w:rPr>
                                      <w:rFonts w:hint="default" w:eastAsia="宋体"/>
                                      <w:lang w:val="en-US" w:eastAsia="zh-CN"/>
                                    </w:rPr>
                                  </w:pPr>
                                  <w:r>
                                    <w:rPr>
                                      <w:rFonts w:hint="eastAsia"/>
                                      <w:lang w:val="en-US" w:eastAsia="zh-CN"/>
                                    </w:rPr>
                                    <w:t>轻微</w:t>
                                  </w:r>
                                </w:p>
                              </w:txbxContent>
                            </wps:txbx>
                            <wps:bodyPr upright="1"/>
                          </wps:wsp>
                        </a:graphicData>
                      </a:graphic>
                    </wp:anchor>
                  </w:drawing>
                </mc:Choice>
                <mc:Fallback>
                  <w:pict>
                    <v:shape id="_x0000_s1026" o:spid="_x0000_s1026" o:spt="202" type="#_x0000_t202" style="position:absolute;left:0pt;margin-left:18.2pt;margin-top:8.35pt;height:23.2pt;width:53.7pt;z-index:251666432;mso-width-relative:page;mso-height-relative:page;" filled="f" stroked="f" coordsize="21600,21600" o:gfxdata="UEsFBgAAAAAAAAAAAAAAAAAAAAAAAFBLAwQKAAAAAACHTuJAAAAAAAAAAAAAAAAABAAAAGRycy9Q&#10;SwMEFAAAAAgAh07iQCR7hL7WAAAACAEAAA8AAABkcnMvZG93bnJldi54bWxNj81OwzAQhO9IfQdr&#10;K3GjdkgIkMbpAcQVRPmRuLnxNokar6PYbcLbsz3R486MZr8pN7PrxQnH0HnSkKwUCKTa244aDZ8f&#10;LzcPIEI0ZE3vCTX8YoBNtbgqTWH9RO942sZGcAmFwmhoYxwKKUPdojNh5Qck9vZ+dCbyOTbSjmbi&#10;ctfLW6Vy6UxH/KE1Az61WB+2R6fh63X/852pt+bZ3Q2Tn5Uk9yi1vl4mag0i4hz/w3DGZ3SomGnn&#10;j2SD6DWkecZJ1vN7EGc/S3nKTkOeJiCrUl4OqP4AUEsDBBQAAAAIAIdO4kCRC9AWqwEAAE8DAAAO&#10;AAAAZHJzL2Uyb0RvYy54bWytU0GOEzEQvCPxB8t34iRaRZtRJiuhaLkgQFp4gOOxM5Zst+V2MpMP&#10;wA84ceHOu/IO2k42C8tlD1w8dndNdVe1vbobvWMHndBCaPlsMuVMBwWdDbuWf/l8/+aWM8wydNJB&#10;0C0/auR369evVkNs9Bx6cJ1OjEgCNkNseZ9zbIRA1WsvcQJRB0oaSF5mOqad6JIciN07MZ9OF2KA&#10;1MUESiNSdHNO8gtjegkhGGOV3oDaex3ymTVpJzNJwt5G5OvarTFa5Y/GoM7MtZyU5rpSEdpvyyrW&#10;K9nskoy9VZcW5EtaeKbJSxuo6JVqI7Nk+2T/ofJWJUAweaLAi7OQ6gipmE2fefPQy6irFrIa49V0&#10;/H+06sPhU2K2o5tAlgTpaeKn799OP36dfn5lFCODhogN4R4iIfP4FkYCP8aRgkX3aJIvX1LEKE9c&#10;x6u9esxMUXBxO1suKaMoNV/eLG4qu3j6OSbM7zR4VjYtTzS9aqo8vMdMjRD0EVJqBbi3ztUJuvBX&#10;gIAlIkrn5w7LLo/b8SJnC92R1OxjsrueSlU9FU4+10KXO1EG+ee5kj69g/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JHuEvtYAAAAIAQAADwAAAAAAAAABACAAAAA4AAAAZHJzL2Rvd25yZXYueG1s&#10;UEsBAhQAFAAAAAgAh07iQJEL0BarAQAATwMAAA4AAAAAAAAAAQAgAAAAOwEAAGRycy9lMm9Eb2Mu&#10;eG1sUEsFBgAAAAAGAAYAWQEAAFgFAAAAAA==&#10;">
                      <v:fill on="f" focussize="0,0"/>
                      <v:stroke on="f"/>
                      <v:imagedata o:title=""/>
                      <o:lock v:ext="edit" aspectratio="f"/>
                      <v:textbox>
                        <w:txbxContent>
                          <w:p>
                            <w:pPr>
                              <w:rPr>
                                <w:rFonts w:hint="default" w:eastAsia="宋体"/>
                                <w:lang w:val="en-US" w:eastAsia="zh-CN"/>
                              </w:rPr>
                            </w:pPr>
                            <w:r>
                              <w:rPr>
                                <w:rFonts w:hint="eastAsia"/>
                                <w:lang w:val="en-US" w:eastAsia="zh-CN"/>
                              </w:rPr>
                              <w:t>轻微</w:t>
                            </w:r>
                          </w:p>
                        </w:txbxContent>
                      </v:textbox>
                    </v:shape>
                  </w:pict>
                </mc:Fallback>
              </mc:AlternateContent>
            </w: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40640</wp:posOffset>
                      </wp:positionH>
                      <wp:positionV relativeFrom="paragraph">
                        <wp:posOffset>187960</wp:posOffset>
                      </wp:positionV>
                      <wp:extent cx="152400" cy="133350"/>
                      <wp:effectExtent l="4445" t="5080" r="14605" b="13970"/>
                      <wp:wrapNone/>
                      <wp:docPr id="7" name="矩形 7"/>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2pt;margin-top:14.8pt;height:10.5pt;width:12pt;z-index:251665408;mso-width-relative:page;mso-height-relative:page;" fillcolor="#FFFFFF" filled="t" stroked="t" coordsize="21600,21600" o:gfxdata="UEsFBgAAAAAAAAAAAAAAAAAAAAAAAFBLAwQKAAAAAACHTuJAAAAAAAAAAAAAAAAABAAAAGRycy9Q&#10;SwMEFAAAAAgAh07iQHNeINnUAAAABgEAAA8AAABkcnMvZG93bnJldi54bWxNjsFOwzAQRO9I/IO1&#10;SNyo3RQiGuL0ACoSxza9cNvEJgnE6yh22rRfz3Kix9GM3rx8M7teHO0YOk8algsFwlLtTUeNhkO5&#10;fXgGESKSwd6T1XC2ATbF7U2OmfEn2tnjPjaCIRQy1NDGOGRShrq1DsPCD5a4+/Kjw8hxbKQZ8cRw&#10;18tEqVQ67IgfWhzsa2vrn/3kNFRdcsDLrnxXbr1dxY+5/J4+37S+v1uqFxDRzvF/DH/6rA4FO1V+&#10;IhNEryF95KGGZJ2C4HqlOFcanlQKssjltX7xC1BLAwQUAAAACACHTuJAbeiTBP0BAAAdBAAADgAA&#10;AGRycy9lMm9Eb2MueG1srVNLjhMxEN0jcQfLe6Y7CWGglc4sCGGDYKSBA1Rsd7cl/+Ry0slpkNhx&#10;CI6DuAZlJ2Q+sMiCXnSX2+VX770qL2721rCdiqi9a/nkquZMOeGldn3Lv3xev3jNGSZwEox3quUH&#10;hfxm+fzZYgyNmvrBG6kiIxCHzRhaPqQUmqpCMSgLeOWDcrTZ+Wgh0TL2lYwwEro11bSuX1WjjzJE&#10;LxQi/V0dN/kJMV4C6LtOC7XyYmuVS0fUqAwkkoSDDsiXhW3XKZE+dR2qxEzLSWkqbypC8Sa/q+UC&#10;mj5CGLQ4UYBLKDzRZEE7KnqGWkECto36LyirRfTou3QlvK2OQoojpGJSP/HmboCgihayGsPZdPx/&#10;sOLj7jYyLVt+zZkDSw3/9fX7zx/f2HX2ZgzYUMpduI2nFVKYhe67aPOXJLB98fNw9lPtExP0czKf&#10;vqzJaUFbk9lsNi9+V/eHQ8T0XnnLctDySO0qLsLuAyYqSKl/UnIt9EbLtTamLGK/eWsi2wG1dl2e&#10;zJiOPEozjo0tfzOfzokH0Lx2NCcU2kCa0fWl3qMT+BC4Ls+/gDOxFeBwJFAQcho0VieV3YJmUCDf&#10;OcnSIZCvjq4Tz2SskpwZRbcvRyUzgTaXZJI640hk7suxEznaeHmgLm5D1P1APk4K37xDU1MsOU14&#10;HsuH64J0f6u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zXiDZ1AAAAAYBAAAPAAAAAAAAAAEA&#10;IAAAADgAAABkcnMvZG93bnJldi54bWxQSwECFAAUAAAACACHTuJAbeiTBP0BAAAdBAAADgAAAAAA&#10;AAABACAAAAA5AQAAZHJzL2Uyb0RvYy54bWxQSwUGAAAAAAYABgBZAQAAqAUAAAAA&#10;">
                      <v:fill on="t" focussize="0,0"/>
                      <v:stroke color="#000000" joinstyle="miter"/>
                      <v:imagedata o:title=""/>
                      <o:lock v:ext="edit" aspectratio="f"/>
                    </v:rect>
                  </w:pict>
                </mc:Fallback>
              </mc:AlternateContent>
            </w:r>
            <w:r>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s="仿宋_GB2312"/>
                <w:i w:val="0"/>
                <w:caps w:val="0"/>
                <w:color w:val="auto"/>
                <w:spacing w:val="0"/>
                <w:kern w:val="0"/>
                <w:sz w:val="24"/>
                <w:szCs w:val="24"/>
                <w:shd w:val="clear" w:color="auto" w:fill="FFFFFF"/>
                <w:vertAlign w:val="baseline"/>
                <w:lang w:val="en-US" w:eastAsia="zh-CN" w:bidi="ar"/>
              </w:rPr>
            </w:pPr>
            <w:r>
              <w:rPr>
                <w:rFonts w:hint="eastAsia" w:ascii="Times New Roman" w:hAnsi="Times New Roman" w:eastAsia="仿宋_GB2312" w:cs="仿宋_GB2312"/>
                <w:i w:val="0"/>
                <w:caps w:val="0"/>
                <w:color w:val="auto"/>
                <w:spacing w:val="0"/>
                <w:kern w:val="0"/>
                <w:sz w:val="24"/>
                <w:szCs w:val="24"/>
                <w:shd w:val="clear" w:color="auto" w:fill="FFFFFF"/>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trPr>
        <w:tc>
          <w:tcPr>
            <w:tcW w:w="9288" w:type="dxa"/>
            <w:gridSpan w:val="4"/>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pPr>
            <w:r>
              <w:rPr>
                <w:rFonts w:hint="eastAsia" w:ascii="Times New Roman" w:hAnsi="Times New Roman" w:eastAsia="仿宋_GB2312" w:cs="仿宋_GB2312"/>
                <w:b/>
                <w:bCs/>
                <w:i w:val="0"/>
                <w:caps w:val="0"/>
                <w:color w:val="auto"/>
                <w:spacing w:val="0"/>
                <w:kern w:val="0"/>
                <w:sz w:val="28"/>
                <w:szCs w:val="28"/>
                <w:shd w:val="clear" w:color="auto" w:fill="FFFFFF"/>
                <w:vertAlign w:val="baseline"/>
                <w:lang w:val="en-US" w:eastAsia="zh-CN" w:bidi="ar"/>
              </w:rPr>
              <w:t>不良行为情况：</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default" w:ascii="Times New Roman" w:hAnsi="Times New Roman" w:eastAsia="仿宋_GB2312" w:cs="仿宋_GB2312"/>
                <w:i w:val="0"/>
                <w:caps w:val="0"/>
                <w:color w:val="auto"/>
                <w:spacing w:val="0"/>
                <w:kern w:val="0"/>
                <w:sz w:val="32"/>
                <w:szCs w:val="32"/>
                <w:shd w:val="clear" w:color="auto" w:fill="FFFFFF"/>
                <w:vertAlign w:val="baseli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注：如有其他材料可附件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见证人签字：         科室负责人（分中心主任）签字：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default"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xml:space="preserve">                              年   月   日</w:t>
      </w:r>
    </w:p>
    <w:p>
      <w:pPr>
        <w:jc w:val="left"/>
        <w:rPr>
          <w:rFonts w:hint="default"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0"/>
        <w:jc w:val="center"/>
        <w:rPr>
          <w:rFonts w:hint="default"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淄博市公共资源交易中心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20" w:lineRule="atLeast"/>
        <w:ind w:left="0" w:right="0" w:firstLine="0"/>
        <w:jc w:val="cente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社会中介机构不良行为记录通知单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No:</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u w:val="single"/>
          <w:shd w:val="clear" w:color="auto" w:fill="FFFFFF"/>
          <w:lang w:val="en-US" w:eastAsia="zh-CN" w:bidi="ar"/>
        </w:rPr>
        <w:t>  （社会中介机构）</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在项目见证过程中，发现有以下行为：</w:t>
      </w:r>
    </w:p>
    <w:tbl>
      <w:tblPr>
        <w:tblStyle w:val="6"/>
        <w:tblpPr w:leftFromText="180" w:rightFromText="180" w:vertAnchor="text" w:horzAnchor="page" w:tblpX="1713" w:tblpY="443"/>
        <w:tblOverlap w:val="never"/>
        <w:tblW w:w="92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216"/>
        <w:gridCol w:w="2416"/>
        <w:gridCol w:w="1977"/>
        <w:gridCol w:w="2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8" w:hRule="atLeast"/>
        </w:trPr>
        <w:tc>
          <w:tcPr>
            <w:tcW w:w="2216" w:type="dxa"/>
            <w:tcBorders>
              <w:top w:val="single" w:color="auto" w:sz="6" w:space="0"/>
              <w:left w:val="single" w:color="auto" w:sz="6" w:space="0"/>
              <w:bottom w:val="single" w:color="000000" w:sz="6" w:space="0"/>
              <w:right w:val="single" w:color="auto" w:sz="6" w:space="0"/>
            </w:tcBorders>
            <w:shd w:val="clear" w:color="auto" w:fill="FFFFFF"/>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仿宋_GB2312"/>
                <w:i w:val="0"/>
                <w:caps w:val="0"/>
                <w:color w:val="auto"/>
                <w:spacing w:val="0"/>
                <w:kern w:val="0"/>
                <w:sz w:val="28"/>
                <w:szCs w:val="28"/>
                <w:shd w:val="clear" w:color="auto" w:fill="FFFFFF"/>
                <w:lang w:val="en-US" w:eastAsia="zh-CN" w:bidi="ar"/>
              </w:rPr>
            </w:pPr>
            <w:r>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t>项目名称</w:t>
            </w:r>
          </w:p>
        </w:tc>
        <w:tc>
          <w:tcPr>
            <w:tcW w:w="2416" w:type="dxa"/>
            <w:tcBorders>
              <w:top w:val="single" w:color="auto" w:sz="6" w:space="0"/>
              <w:left w:val="single" w:color="auto" w:sz="6" w:space="0"/>
              <w:bottom w:val="single" w:color="000000" w:sz="6" w:space="0"/>
              <w:right w:val="single" w:color="auto" w:sz="6" w:space="0"/>
            </w:tcBorders>
            <w:shd w:val="clear" w:color="auto" w:fill="FFFFFF"/>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pPr>
          </w:p>
        </w:tc>
        <w:tc>
          <w:tcPr>
            <w:tcW w:w="1977" w:type="dxa"/>
            <w:tcBorders>
              <w:top w:val="single" w:color="auto" w:sz="6" w:space="0"/>
              <w:left w:val="nil"/>
              <w:bottom w:val="single" w:color="000000" w:sz="6" w:space="0"/>
              <w:right w:val="single" w:color="auto" w:sz="6" w:space="0"/>
            </w:tcBorders>
            <w:shd w:val="clear" w:color="auto" w:fill="FFFFFF"/>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仿宋_GB2312"/>
                <w:i w:val="0"/>
                <w:caps w:val="0"/>
                <w:color w:val="auto"/>
                <w:spacing w:val="0"/>
                <w:kern w:val="0"/>
                <w:sz w:val="28"/>
                <w:szCs w:val="28"/>
                <w:shd w:val="clear" w:color="auto" w:fill="FFFFFF"/>
                <w:lang w:val="en-US" w:eastAsia="zh-CN" w:bidi="ar"/>
              </w:rPr>
            </w:pPr>
            <w:r>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t>项目编号</w:t>
            </w:r>
          </w:p>
        </w:tc>
        <w:tc>
          <w:tcPr>
            <w:tcW w:w="2600" w:type="dxa"/>
            <w:tcBorders>
              <w:top w:val="single" w:color="auto" w:sz="6" w:space="0"/>
              <w:left w:val="nil"/>
              <w:bottom w:val="single" w:color="000000" w:sz="6" w:space="0"/>
              <w:right w:val="single" w:color="auto" w:sz="6" w:space="0"/>
            </w:tcBorders>
            <w:shd w:val="clear" w:color="auto" w:fill="FFFFFF"/>
            <w:noWrap w:val="0"/>
            <w:tcMar>
              <w:left w:w="105" w:type="dxa"/>
              <w:right w:w="105" w:type="dxa"/>
            </w:tcMar>
            <w:vAlign w:val="bottom"/>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2" w:hRule="atLeast"/>
        </w:trPr>
        <w:tc>
          <w:tcPr>
            <w:tcW w:w="2216"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仿宋_GB2312"/>
                <w:i w:val="0"/>
                <w:caps w:val="0"/>
                <w:color w:val="auto"/>
                <w:spacing w:val="0"/>
                <w:kern w:val="0"/>
                <w:sz w:val="28"/>
                <w:szCs w:val="28"/>
                <w:shd w:val="clear" w:color="auto" w:fill="FFFFFF"/>
                <w:lang w:val="en-US" w:eastAsia="zh-CN" w:bidi="ar"/>
              </w:rPr>
            </w:pPr>
            <w:r>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t>招标（采购）人</w:t>
            </w:r>
          </w:p>
        </w:tc>
        <w:tc>
          <w:tcPr>
            <w:tcW w:w="2416"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pPr>
          </w:p>
        </w:tc>
        <w:tc>
          <w:tcPr>
            <w:tcW w:w="1977"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仿宋_GB2312" w:cs="仿宋_GB2312"/>
                <w:i w:val="0"/>
                <w:caps w:val="0"/>
                <w:color w:val="auto"/>
                <w:spacing w:val="0"/>
                <w:kern w:val="0"/>
                <w:sz w:val="28"/>
                <w:szCs w:val="28"/>
                <w:shd w:val="clear" w:color="auto" w:fill="FFFFFF"/>
                <w:lang w:val="en-US" w:eastAsia="zh-CN" w:bidi="ar"/>
              </w:rPr>
            </w:pPr>
            <w:r>
              <w:rPr>
                <w:rFonts w:hint="eastAsia" w:ascii="Times New Roman" w:hAnsi="Times New Roman" w:eastAsia="仿宋_GB2312" w:cs="仿宋_GB2312"/>
                <w:i w:val="0"/>
                <w:caps w:val="0"/>
                <w:color w:val="auto"/>
                <w:spacing w:val="0"/>
                <w:kern w:val="0"/>
                <w:sz w:val="28"/>
                <w:szCs w:val="28"/>
                <w:shd w:val="clear" w:color="auto" w:fill="FFFFFF"/>
                <w:lang w:val="en-US" w:eastAsia="zh-CN" w:bidi="ar"/>
              </w:rPr>
              <w:t>社会中介机构</w:t>
            </w:r>
          </w:p>
        </w:tc>
        <w:tc>
          <w:tcPr>
            <w:tcW w:w="2600" w:type="dxa"/>
            <w:tcBorders>
              <w:top w:val="single" w:color="000000" w:sz="6" w:space="0"/>
              <w:left w:val="single" w:color="000000" w:sz="6" w:space="0"/>
              <w:bottom w:val="single" w:color="000000" w:sz="6" w:space="0"/>
              <w:right w:val="single" w:color="000000" w:sz="6" w:space="0"/>
            </w:tcBorders>
            <w:shd w:val="clear" w:color="auto" w:fill="FFFFFF"/>
            <w:noWrap w:val="0"/>
            <w:tcMar>
              <w:left w:w="105" w:type="dxa"/>
              <w:right w:w="105" w:type="dxa"/>
            </w:tcMar>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37" w:hRule="atLeast"/>
        </w:trPr>
        <w:tc>
          <w:tcPr>
            <w:tcW w:w="9209" w:type="dxa"/>
            <w:gridSpan w:val="4"/>
            <w:tcBorders>
              <w:top w:val="single" w:color="000000" w:sz="6" w:space="0"/>
              <w:left w:val="single" w:color="auto" w:sz="6" w:space="0"/>
              <w:bottom w:val="single" w:color="auto" w:sz="6" w:space="0"/>
              <w:right w:val="single" w:color="auto" w:sz="6" w:space="0"/>
            </w:tcBorders>
            <w:shd w:val="clear" w:color="auto" w:fill="FFFFFF"/>
            <w:noWrap w:val="0"/>
            <w:tcMar>
              <w:left w:w="105" w:type="dxa"/>
              <w:right w:w="105" w:type="dxa"/>
            </w:tcMar>
            <w:vAlign w:val="top"/>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不良行为情况：</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如对记录有异议，请在接到本通知后3个工作日内向淄博市公共资源交易中心书面反映。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社会中介机构签字：                     记录人签字：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年    月    日                     年    月    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p>
      <w:pPr>
        <w:spacing w:line="560" w:lineRule="exact"/>
        <w:jc w:val="left"/>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附件6</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pPr>
      <w:r>
        <w:rPr>
          <w:rFonts w:hint="eastAsia" w:ascii="方正小标宋简体" w:hAnsi="方正小标宋简体" w:eastAsia="方正小标宋简体" w:cs="方正小标宋简体"/>
          <w:i w:val="0"/>
          <w:caps w:val="0"/>
          <w:color w:val="auto"/>
          <w:spacing w:val="0"/>
          <w:kern w:val="0"/>
          <w:sz w:val="44"/>
          <w:szCs w:val="44"/>
          <w:shd w:val="clear" w:color="auto" w:fill="FFFFFF"/>
          <w:lang w:val="en-US" w:eastAsia="zh-CN" w:bidi="ar"/>
        </w:rPr>
        <w:t>淄博市公共资源交易中心</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color w:val="auto"/>
          <w:kern w:val="2"/>
          <w:sz w:val="44"/>
          <w:szCs w:val="44"/>
          <w:lang w:val="en-US" w:eastAsia="zh-CN"/>
        </w:rPr>
      </w:pPr>
      <w:r>
        <w:rPr>
          <w:rFonts w:hint="eastAsia" w:ascii="方正小标宋_GBK" w:hAnsi="方正小标宋_GBK" w:eastAsia="方正小标宋_GBK" w:cs="方正小标宋_GBK"/>
          <w:color w:val="auto"/>
          <w:kern w:val="2"/>
          <w:sz w:val="44"/>
          <w:szCs w:val="44"/>
          <w:lang w:val="en-US" w:eastAsia="zh-CN"/>
        </w:rPr>
        <w:t>不良行为记录业务流转示意图</w:t>
      </w:r>
    </w:p>
    <w:p>
      <w:pPr>
        <w:rPr>
          <w:color w:val="auto"/>
        </w:rPr>
      </w:pPr>
      <w:r>
        <w:rPr>
          <w:color w:val="auto"/>
          <w:sz w:val="32"/>
        </w:rPr>
        <mc:AlternateContent>
          <mc:Choice Requires="wps">
            <w:drawing>
              <wp:anchor distT="0" distB="0" distL="114300" distR="114300" simplePos="0" relativeHeight="251671552" behindDoc="0" locked="0" layoutInCell="1" allowOverlap="1">
                <wp:simplePos x="0" y="0"/>
                <wp:positionH relativeFrom="column">
                  <wp:posOffset>728345</wp:posOffset>
                </wp:positionH>
                <wp:positionV relativeFrom="paragraph">
                  <wp:posOffset>149225</wp:posOffset>
                </wp:positionV>
                <wp:extent cx="4642485" cy="440055"/>
                <wp:effectExtent l="4445" t="4445" r="20320" b="12700"/>
                <wp:wrapNone/>
                <wp:docPr id="17" name="文本框 17"/>
                <wp:cNvGraphicFramePr/>
                <a:graphic xmlns:a="http://schemas.openxmlformats.org/drawingml/2006/main">
                  <a:graphicData uri="http://schemas.microsoft.com/office/word/2010/wordprocessingShape">
                    <wps:wsp>
                      <wps:cNvSpPr txBox="1"/>
                      <wps:spPr>
                        <a:xfrm>
                          <a:off x="1442720" y="1217295"/>
                          <a:ext cx="4642485" cy="44005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相关科室、分中心负责记录社会中介机构的不良行为信息</w:t>
                            </w:r>
                          </w:p>
                          <w:p>
                            <w:pPr>
                              <w:rPr>
                                <w:rFonts w:hint="default" w:eastAsia="仿宋_GB2312"/>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35pt;margin-top:11.75pt;height:34.65pt;width:365.55pt;z-index:251671552;mso-width-relative:page;mso-height-relative:page;" fillcolor="#FFFFFF [3201]" filled="t" stroked="t" coordsize="21600,21600" o:gfxdata="UEsFBgAAAAAAAAAAAAAAAAAAAAAAAFBLAwQKAAAAAACHTuJAAAAAAAAAAAAAAAAABAAAAGRycy9Q&#10;SwMEFAAAAAgAh07iQHMGPB7WAAAACQEAAA8AAABkcnMvZG93bnJldi54bWxNj8tOwzAQRfdI/IM1&#10;SOyo82hLCHEqgYSE2FGyYefG0yTCHke225S/Z1jB8mqO7pzb7C7OijOGOHlSkK8yEEi9NxMNCrqP&#10;l7sKREyajLaeUME3Rti111eNro1f6B3P+zQILqFYawVjSnMtZexHdDqu/IzEt6MPTieOYZAm6IXL&#10;nZVFlm2l0xPxh1HP+Dxi/7U/OQWv26f0iZ15M2VR+qWTfTjaqNTtTZ49gkh4SX8w/OqzOrTsdPAn&#10;MlFYzvn6nlEFRbkBwUC13vCWg4KHogLZNvL/gvYHUEsDBBQAAAAIAIdO4kAS70cAYwIAAMYEAAAO&#10;AAAAZHJzL2Uyb0RvYy54bWytVEtu2zAQ3RfoHQjuG8mqnI9hOXAduCgQNAHSomuaoiwBFMmStKX0&#10;AO0Nuuqm+54r5+gjZSdO0kUW1YIacp7ecN7MaHret5JshXWNVgUdHaWUCMV12ah1QT9/Wr45pcR5&#10;pkomtRIFvRWOns9ev5p2ZiIyXWtZCktAotykMwWtvTeTJHG8Fi1zR9oIBWelbcs8tnadlJZ1YG9l&#10;kqXpcdJpWxqruXAOpxeDk+4Y7UsIdVU1XFxovmmF8gOrFZJ5pOTqxjg6i7etKsH9VVU54YksKDL1&#10;cUUQ2KuwJrMpm6wtM3XDd1dgL7nCk5xa1igEvae6YJ6RjW2eUbUNt9rpyh9x3SZDIlERZDFKn2hz&#10;UzMjYi6Q2pl70d3/o+Uft9eWNCU64YQSxVpU/O7nj7tff+5+fyc4g0CdcRPgbgyQvn+ne4D35w6H&#10;Ie++sm14IyMS/HmenWQQ+RZ2NjrJzsaD1KL3hAOQH+dZfjqmhAOR52k6joDkgclY598L3ZJgFNSi&#10;lFFhtr10HrcCdA8JgZ2WTblspIwbu14tpCVbhrIv4xPC45NHMKlIV9Djt+M0Mj/yuUOKND7PKUAo&#10;FXiDQoMSwfL9qt/JttLlLVSzemg8Z/iyQTqXzPlrZtFpkAiz6K+wVFLjNnpnUVJr++1f5wGPBoCX&#10;kg6dW1D3dcOsoER+UGiNM4gfWj1u8nEsgz30rA49atMuNFQaYeoNjyY+tl7uzcrq9gtGdh6iwsUU&#10;R+yC+r258MM8YeS5mM8jCM1tmL9UN4YH6lATpecbr6sm1i7INGizUw/tHeuzG8UwP4f7iHr4/cz+&#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BYAAABkcnMvUEsBAhQAFAAAAAgAh07iQHMGPB7WAAAACQEAAA8AAAAAAAAAAQAgAAAAOAAAAGRy&#10;cy9kb3ducmV2LnhtbFBLAQIUABQAAAAIAIdO4kAS70cAYwIAAMYEAAAOAAAAAAAAAAEAIAAAADsB&#10;AABkcnMvZTJvRG9jLnhtbFBLBQYAAAAABgAGAFkBAAAQBg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相关科室、分中心负责记录社会中介机构的不良行为信息</w:t>
                      </w:r>
                    </w:p>
                    <w:p>
                      <w:pPr>
                        <w:rPr>
                          <w:rFonts w:hint="default" w:eastAsia="仿宋_GB2312"/>
                          <w:sz w:val="28"/>
                          <w:szCs w:val="28"/>
                          <w:lang w:val="en-US" w:eastAsia="zh-CN"/>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p>
    <w:p>
      <w:pPr>
        <w:rPr>
          <w:color w:val="auto"/>
        </w:rPr>
      </w:pPr>
      <w:r>
        <w:rPr>
          <w:sz w:val="21"/>
        </w:rPr>
        <mc:AlternateContent>
          <mc:Choice Requires="wps">
            <w:drawing>
              <wp:anchor distT="0" distB="0" distL="114300" distR="114300" simplePos="0" relativeHeight="251679744" behindDoc="0" locked="0" layoutInCell="1" allowOverlap="1">
                <wp:simplePos x="0" y="0"/>
                <wp:positionH relativeFrom="column">
                  <wp:posOffset>2885440</wp:posOffset>
                </wp:positionH>
                <wp:positionV relativeFrom="paragraph">
                  <wp:posOffset>48260</wp:posOffset>
                </wp:positionV>
                <wp:extent cx="0" cy="504190"/>
                <wp:effectExtent l="50800" t="0" r="63500" b="10160"/>
                <wp:wrapNone/>
                <wp:docPr id="27" name="直接箭头连接符 27"/>
                <wp:cNvGraphicFramePr/>
                <a:graphic xmlns:a="http://schemas.openxmlformats.org/drawingml/2006/main">
                  <a:graphicData uri="http://schemas.microsoft.com/office/word/2010/wordprocessingShape">
                    <wps:wsp>
                      <wps:cNvCnPr/>
                      <wps:spPr>
                        <a:xfrm>
                          <a:off x="3893185" y="2954020"/>
                          <a:ext cx="0" cy="50419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27.2pt;margin-top:3.8pt;height:39.7pt;width:0pt;z-index:251679744;mso-width-relative:page;mso-height-relative:page;" filled="f" stroked="t" coordsize="21600,21600" o:gfxdata="UEsFBgAAAAAAAAAAAAAAAAAAAAAAAFBLAwQKAAAAAACHTuJAAAAAAAAAAAAAAAAABAAAAGRycy9Q&#10;SwMEFAAAAAgAh07iQHmmx/fUAAAACAEAAA8AAABkcnMvZG93bnJldi54bWxNj8FOwzAQRO9I/IO1&#10;SNyoXRTaKmRTISQu3GgrRG+uvTgh8TqK3ab8PUYc6HE0o5k31frse3GiMbaBEeYzBYLYBNuyQ9ht&#10;X+5WIGLSbHUfmBC+KcK6vr6qdGnDxG902iQncgnHUiM0KQ2llNE05HWchYE4e59h9DplOTppRz3l&#10;ct/Le6UW0uuW80KjB3puyHSbo0fYT46/jDXv/DS97l330UXe7hBvb+bqEUSic/oPwy9+Roc6Mx3C&#10;kW0UPULxUBQ5irBcgMj+nz4grJYKZF3JywP1D1BLAwQUAAAACACHTuJAkRz1vhMCAADsAwAADgAA&#10;AGRycy9lMm9Eb2MueG1srVPNctMwEL4zwztodCd20oYmnjg9JJQLA5mBPoAiy7Zm9DcrNU5eghdg&#10;hhNwopx652mgfQxWskmhXHrAB3ml1X6737erxfleK7IT4KU1JR2PckqE4baSpinp5buLZzNKfGCm&#10;YsoaUdKD8PR8+fTJonOFmNjWqkoAQRDji86VtA3BFVnmeSs08yPrhEFnbUGzgFtosgpYh+haZZM8&#10;f551FioHlgvv8XTdO+mACI8BtHUtuVhbfqWFCT0qCMUCUvKtdJ4uU7V1LXh4U9deBKJKikxDWjEJ&#10;2tu4ZssFKxpgrpV8KIE9poQHnDSTBpMeodYsMHIF8h8oLTlYb+sw4lZnPZGkCLIY5w+0edsyJxIX&#10;lNq7o+j+/8Hy17sNEFmVdHJGiWEaO3774ebn+8+3365/fLq5+/4x2l+/EPSjWJ3zBcaszAaGnXcb&#10;iMz3Nej4R05kX9KT2fxkPJtSckDo+fQ0nwxii30gHC9gBzj6pvnpeJ5c2T2GAx9eCqtJNErqAzDZ&#10;tGFljcGOWhgnrdnulQ9YBQb+DogFGHshlUqNVYZ0OOOTszxmYzitNU4JmtohY28aSphq8BnwAAnS&#10;WyWrGB6BPDTblQKyY3F40hclwHR/XYu518y3/b3k6sdKy4AvRUld0tkxmhWBSfXCVCQcHIrNAGw3&#10;wCqD6FHhXtNobW11SFKncxyClH8Y2Dhlf+5T9P0jXf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FgAAAGRycy9QSwECFAAUAAAACACHTuJA&#10;eabH99QAAAAIAQAADwAAAAAAAAABACAAAAA4AAAAZHJzL2Rvd25yZXYueG1sUEsBAhQAFAAAAAgA&#10;h07iQJEc9b4TAgAA7AMAAA4AAAAAAAAAAQAgAAAAOQEAAGRycy9lMm9Eb2MueG1sUEsFBgAAAAAG&#10;AAYAWQEAAL4FAAAAAA==&#10;">
                <v:fill on="f" focussize="0,0"/>
                <v:stroke weight="1pt" color="#000000 [3213]" miterlimit="8" joinstyle="miter" endarrow="open"/>
                <v:imagedata o:title=""/>
                <o:lock v:ext="edit" aspectratio="f"/>
              </v:shape>
            </w:pict>
          </mc:Fallback>
        </mc:AlternateContent>
      </w:r>
    </w:p>
    <w:p>
      <w:pPr>
        <w:numPr>
          <w:ilvl w:val="0"/>
          <w:numId w:val="0"/>
        </w:numPr>
        <w:rPr>
          <w:rFonts w:hint="default" w:ascii="仿宋_GB2312" w:hAnsi="仿宋_GB2312" w:eastAsia="仿宋_GB2312" w:cs="仿宋_GB2312"/>
          <w:color w:val="auto"/>
          <w:sz w:val="32"/>
          <w:szCs w:val="32"/>
          <w:lang w:val="en-US" w:eastAsia="zh-CN"/>
        </w:rPr>
      </w:pPr>
      <w:r>
        <w:rPr>
          <w:color w:val="auto"/>
          <w:sz w:val="32"/>
        </w:rPr>
        <mc:AlternateContent>
          <mc:Choice Requires="wps">
            <w:drawing>
              <wp:anchor distT="0" distB="0" distL="114300" distR="114300" simplePos="0" relativeHeight="251677696" behindDoc="0" locked="0" layoutInCell="1" allowOverlap="1">
                <wp:simplePos x="0" y="0"/>
                <wp:positionH relativeFrom="column">
                  <wp:posOffset>5361940</wp:posOffset>
                </wp:positionH>
                <wp:positionV relativeFrom="paragraph">
                  <wp:posOffset>81280</wp:posOffset>
                </wp:positionV>
                <wp:extent cx="0" cy="299085"/>
                <wp:effectExtent l="50800" t="0" r="63500" b="5715"/>
                <wp:wrapNone/>
                <wp:docPr id="24" name="直接箭头连接符 24"/>
                <wp:cNvGraphicFramePr/>
                <a:graphic xmlns:a="http://schemas.openxmlformats.org/drawingml/2006/main">
                  <a:graphicData uri="http://schemas.microsoft.com/office/word/2010/wordprocessingShape">
                    <wps:wsp>
                      <wps:cNvCnPr/>
                      <wps:spPr>
                        <a:xfrm>
                          <a:off x="0" y="0"/>
                          <a:ext cx="0" cy="29908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422.2pt;margin-top:6.4pt;height:23.55pt;width:0pt;z-index:251677696;mso-width-relative:page;mso-height-relative:page;" filled="f" stroked="t" coordsize="21600,21600" o:gfxdata="UEsFBgAAAAAAAAAAAAAAAAAAAAAAAFBLAwQKAAAAAACHTuJAAAAAAAAAAAAAAAAABAAAAGRycy9Q&#10;SwMEFAAAAAgAh07iQF51ZE3VAAAACQEAAA8AAABkcnMvZG93bnJldi54bWxNj8FuwjAQRO+V+g/W&#10;VuqtOKC0gjQOqir10lsBIbgZe+ukiddRbAj9+y7iUI478zQ7Uy7PvhMnHGITSMF0koFAMsE25BRs&#10;1h9PcxAxabK6C4QKfjHCsrq/K3Vhw0hfeFolJziEYqEV1Cn1hZTR1Oh1nIQeib3vMHid+ByctIMe&#10;Odx3cpZlL9LrhvhDrXt8r9G0q6NXsB8d/RhrtvQ2fu5du2sjrTdKPT5Ms1cQCc/pH4ZLfa4OFXc6&#10;hCPZKDoF8zzPGWVjxhMYuAoHBc+LBciqlLcLqj9QSwMEFAAAAAgAh07iQOifF2sDAgAA4AMAAA4A&#10;AABkcnMvZTJvRG9jLnhtbK1TzY7TMBC+I/EOlu80bcVPN2q6h5blgqAS8ABTx0ks+U9jb9O+BC+A&#10;xAk4Aae98zSwPAZjJ3RhueyBHJzx2PPNfN+Ml+cHo9leYlDOVnw2mXImrXC1sm3F37y+eLDgLESw&#10;NWhnZcWPMvDz1f17y96Xcu46p2uJjEBsKHtf8S5GXxZFEJ00ECbOS0uHjUMDkbbYFjVCT+hGF/Pp&#10;9HHRO6w9OiFDIO9mOOQjIt4F0DWNEnLjxKWRNg6oKDVEohQ65QNf5WqbRor4smmCjExXnJjGvFIS&#10;sndpLVZLKFsE3ykxlgB3KeEWJwPKUtIT1AYisEtU/0AZJdAF18SJcKYYiGRFiMVsekubVx14mbmQ&#10;1MGfRA//D1a82G+Rqbri84ecWTDU8et3Vz/efrz++uX7h6uf394n+/MnRuckVu9DSTFru8VxF/wW&#10;E/NDgyb9iRM7ZIGPJ4HlITIxOAV552dn08WjBFfcxHkM8Zl0hiWj4iEiqLaLa2ctddHhLOsL++ch&#10;DoG/A1JS6y6U1uSHUlvW01zPn0ypxwJoQhuaDDKNJ5bBtpyBbmn0RcQMGZxWdQpP0QHb3Voj20Ma&#10;mPyNdf51LeXeQOiGe/koXYPSqEivQytT8cUpGsoISj+1NYtHTwIDoutHWG1JhaTqoGOydq4+Znmz&#10;nxqfdRqHNE3Wn/scffMwV7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XnVkTdUAAAAJAQAADwAA&#10;AAAAAAABACAAAAA4AAAAZHJzL2Rvd25yZXYueG1sUEsBAhQAFAAAAAgAh07iQOifF2sDAgAA4AMA&#10;AA4AAAAAAAAAAQAgAAAAOgEAAGRycy9lMm9Eb2MueG1sUEsFBgAAAAAGAAYAWQEAAK8FAAAAAA==&#10;">
                <v:fill on="f" focussize="0,0"/>
                <v:stroke weight="1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281940</wp:posOffset>
                </wp:positionH>
                <wp:positionV relativeFrom="paragraph">
                  <wp:posOffset>73025</wp:posOffset>
                </wp:positionV>
                <wp:extent cx="5083810" cy="0"/>
                <wp:effectExtent l="0" t="0" r="0" b="0"/>
                <wp:wrapNone/>
                <wp:docPr id="28" name="直接连接符 28"/>
                <wp:cNvGraphicFramePr/>
                <a:graphic xmlns:a="http://schemas.openxmlformats.org/drawingml/2006/main">
                  <a:graphicData uri="http://schemas.microsoft.com/office/word/2010/wordprocessingShape">
                    <wps:wsp>
                      <wps:cNvCnPr/>
                      <wps:spPr>
                        <a:xfrm>
                          <a:off x="1289685" y="3205480"/>
                          <a:ext cx="50838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2pt;margin-top:5.75pt;height:0pt;width:400.3pt;z-index:251680768;mso-width-relative:page;mso-height-relative:page;" filled="f" stroked="t" coordsize="21600,21600" o:gfxdata="UEsFBgAAAAAAAAAAAAAAAAAAAAAAAFBLAwQKAAAAAACHTuJAAAAAAAAAAAAAAAAABAAAAGRycy9Q&#10;SwMEFAAAAAgAh07iQBhvMwvWAAAACAEAAA8AAABkcnMvZG93bnJldi54bWxNj8FOwzAQRO9I/IO1&#10;SNyoE+pCFeJUCFRx4NRSAUc3XpKo8Tqy3TTw9SziAMedGc2+KVeT68WIIXaeNOSzDARS7W1HjYbd&#10;y/pqCSImQ9b0nlDDJ0ZYVednpSmsP9EGx21qBJdQLIyGNqWhkDLWLToTZ35AYu/DB2cSn6GRNpgT&#10;l7teXmfZjXSmI/7QmgEfWqwP26PT8Hp/e5hPT49qnTa79+DH+TN+vWl9eZFndyASTukvDD/4jA4V&#10;M+39kWwUvQalFCdZzxcg2F+qBW/b/wqyKuX/AdU3UEsDBBQAAAAIAIdO4kAI9zZg8QEAAMADAAAO&#10;AAAAZHJzL2Uyb0RvYy54bWytU01u1DAU3iNxB8t7JpmUKSGaTBcdlQ2CkYADeBw7seQ/+bmTmUtw&#10;ASR2sGLJnttQjsGzE9pSNl2QhWP7PX/P3/c+ry+ORpODCKCcbelyUVIiLHedsn1LP7y/elZTApHZ&#10;jmlnRUtPAujF5umT9egbUbnB6U4EgiAWmtG3dIjRN0UBfBCGwcJ5YTEoXTAs4jL0RRfYiOhGF1VZ&#10;nhejC50PjgsA3N1OQTojhscAOikVF1vHr42wcUINQrOIlGBQHugm31ZKweNbKUFEoluKTGMesQjO&#10;92ksNmvW9IH5QfH5CuwxV3jAyTBlsegt1JZFRq6D+gfKKB4cOBkX3JliIpIVQRbL8oE27wbmReaC&#10;UoO/FR3+Hyx/c9gForqWVth3ywx2/ObT958fv/z68RnHm29fCUZQptFDg9mXdhfmFfhdSJyPMpj0&#10;RzbkiJaq6pfn9YqSU0vPqnL1vJ5lFsdIOCasyvqsXmIHOGbkWHEH4gPEV8IZkiYt1comBVjDDq8h&#10;YmFM/ZOStq27UlrnLmpLxlT9RZmgGVpToiVwajzSA9tTwnSPnucxZEhwWnXpeAKC0O8vdSAHlpyS&#10;v8Qay/2VlmpvGQxTXg5NHjIq4rPQyrS0vn9aWwRJ2k1qpdnedacsYt7HxuYyswmTc+6v8+m7h7f5&#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BhvMwvWAAAACAEAAA8AAAAAAAAAAQAgAAAAOAAAAGRy&#10;cy9kb3ducmV2LnhtbFBLAQIUABQAAAAIAIdO4kAI9zZg8QEAAMADAAAOAAAAAAAAAAEAIAAAADsB&#10;AABkcnMvZTJvRG9jLnhtbFBLBQYAAAAABgAGAFkBAACeBQAAAAA=&#10;">
                <v:fill on="f" focussize="0,0"/>
                <v:stroke weight="1pt" color="#000000 [3213]" miterlimit="8" joinstyle="miter"/>
                <v:imagedata o:title=""/>
                <o:lock v:ext="edit" aspectratio="f"/>
              </v:line>
            </w:pict>
          </mc:Fallback>
        </mc:AlternateContent>
      </w:r>
      <w:r>
        <w:rPr>
          <w:color w:val="auto"/>
          <w:sz w:val="32"/>
        </w:rPr>
        <mc:AlternateContent>
          <mc:Choice Requires="wps">
            <w:drawing>
              <wp:anchor distT="0" distB="0" distL="114300" distR="114300" simplePos="0" relativeHeight="251678720" behindDoc="0" locked="0" layoutInCell="1" allowOverlap="1">
                <wp:simplePos x="0" y="0"/>
                <wp:positionH relativeFrom="column">
                  <wp:posOffset>1826260</wp:posOffset>
                </wp:positionH>
                <wp:positionV relativeFrom="paragraph">
                  <wp:posOffset>349885</wp:posOffset>
                </wp:positionV>
                <wp:extent cx="1955165" cy="2771140"/>
                <wp:effectExtent l="4445" t="4445" r="21590" b="5715"/>
                <wp:wrapNone/>
                <wp:docPr id="26" name="文本框 26"/>
                <wp:cNvGraphicFramePr/>
                <a:graphic xmlns:a="http://schemas.openxmlformats.org/drawingml/2006/main">
                  <a:graphicData uri="http://schemas.microsoft.com/office/word/2010/wordprocessingShape">
                    <wps:wsp>
                      <wps:cNvSpPr txBox="1"/>
                      <wps:spPr>
                        <a:xfrm>
                          <a:off x="0" y="0"/>
                          <a:ext cx="1955165" cy="277114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相关科室、分中心填写《淄博市公共资源交易中心见证不良行为抄告单》，并报送至市中心监督科。</w:t>
                            </w:r>
                          </w:p>
                          <w:p>
                            <w:pPr>
                              <w:jc w:val="left"/>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8pt;margin-top:27.55pt;height:218.2pt;width:153.95pt;z-index:251678720;mso-width-relative:page;mso-height-relative:page;" fillcolor="#FFFFFF [3201]" filled="t" stroked="t" coordsize="21600,21600" o:gfxdata="UEsFBgAAAAAAAAAAAAAAAAAAAAAAAFBLAwQKAAAAAACHTuJAAAAAAAAAAAAAAAAABAAAAGRycy9Q&#10;SwMEFAAAAAgAh07iQJHGQjDXAAAACgEAAA8AAABkcnMvZG93bnJldi54bWxNj8FOwzAQRO9I/IO1&#10;SNyokxSHNmRTCSQkxI2SCzc33iYR9jqK3ab8PeYEx9U8zbytdxdnxZnmMHpGyFcZCOLOm5F7hPbj&#10;5W4DIkTNRlvPhPBNAXbN9VWtK+MXfqfzPvYilXCoNMIQ41RJGbqBnA4rPxGn7Ohnp2M6516aWS+p&#10;3FlZZFkpnR45LQx6oueBuq/9ySG8lk/xk1rzZtbF2i+t7OajDYi3N3n2CCLSJf7B8Kuf1KFJTgd/&#10;YhOERSg2D2VCEZTKQSRAbZUCcUC43+YKZFPL/y80P1BLAwQUAAAACACHTuJA9X1HDFsCAAC7BAAA&#10;DgAAAGRycy9lMm9Eb2MueG1srVTBbhoxEL1X6j9YvpdlKZAGZYkoiKoSaiKlVc/G62Ut2R7XNuzS&#10;D2j/IKdeeu935Ts69kJCkh5y6B7MjGf8ZubNDBeXrVZkJ5yXYAqa9/qUCMOhlGZT0C+fl2/eUeID&#10;MyVTYERB98LTy+nrVxeNnYgB1KBK4QiCGD9pbEHrEOwkyzyvhWa+B1YYNFbgNAuouk1WOtYgulbZ&#10;oN8fZw240jrgwnu8XXRGekB0LwGEqpJcLIBvtTChQ3VCsYAl+VpaT6cp26oSPFxVlReBqIJipSGd&#10;GATldTyz6QWbbByzteSHFNhLUnhSk2bSYNB7qAULjGydfAalJXfgoQo9DjrrCkmMYBV5/wk3NzWz&#10;ItWCVHt7T7r/f7D80+7aEVkWdDCmxDCNHb+7/Xn368/d7x8E75CgxvoJ+t1Y9Azte2hxbI73Hi9j&#10;3W3ldPzFigjakd79Pb2iDYTHR+ejUT4eUcLRNjg7y/NhakD28Nw6Hz4I0CQKBXXYv0Qr2618wFTQ&#10;9egSo3lQslxKpZLiNuu5cmTHsNfL9MUs8ckjN2VIU9Dx21E/IT+y+VOIfvqeQyCgMogbaenKj1Jo&#10;1+2BqzWUe6TKQTdt3vKlxHJWzIdr5nC8kB1cwHCFR6UAs4GDREkN7vu/7qM/dh2tlDQ4rgX137bM&#10;CUrUR4PzcJ4PkUwSkjIcnQ1QcaeW9anFbPUckKUcV93yJEb/oI5i5UB/xT2dxahoYoZj7IKGozgP&#10;3RLhnnMxmyUnnGjLwsrcWB6hY08MzLYBKpl6F2nquDmwhzOd+nPYv7g0p3ryevjPmf4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FgAAAGRy&#10;cy9QSwECFAAUAAAACACHTuJAkcZCMNcAAAAKAQAADwAAAAAAAAABACAAAAA4AAAAZHJzL2Rvd25y&#10;ZXYueG1sUEsBAhQAFAAAAAgAh07iQPV9RwxbAgAAuwQAAA4AAAAAAAAAAQAgAAAAPAEAAGRycy9l&#10;Mm9Eb2MueG1sUEsFBgAAAAAGAAYAWQEAAAkGA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相关科室、分中心填写《淄博市公共资源交易中心见证不良行为抄告单》，并报送至市中心监督科。</w:t>
                      </w:r>
                    </w:p>
                    <w:p>
                      <w:pPr>
                        <w:jc w:val="left"/>
                        <w:rPr>
                          <w:rFonts w:hint="default"/>
                          <w:lang w:val="en-US" w:eastAsia="zh-CN"/>
                        </w:rPr>
                      </w:pPr>
                    </w:p>
                  </w:txbxContent>
                </v:textbox>
              </v:shape>
            </w:pict>
          </mc:Fallback>
        </mc:AlternateContent>
      </w:r>
      <w:r>
        <w:rPr>
          <w:color w:val="auto"/>
          <w:sz w:val="32"/>
        </w:rPr>
        <mc:AlternateContent>
          <mc:Choice Requires="wps">
            <w:drawing>
              <wp:anchor distT="0" distB="0" distL="114300" distR="114300" simplePos="0" relativeHeight="251673600" behindDoc="0" locked="0" layoutInCell="1" allowOverlap="1">
                <wp:simplePos x="0" y="0"/>
                <wp:positionH relativeFrom="column">
                  <wp:posOffset>292735</wp:posOffset>
                </wp:positionH>
                <wp:positionV relativeFrom="paragraph">
                  <wp:posOffset>85090</wp:posOffset>
                </wp:positionV>
                <wp:extent cx="0" cy="261620"/>
                <wp:effectExtent l="50800" t="0" r="63500" b="5080"/>
                <wp:wrapNone/>
                <wp:docPr id="21" name="直接箭头连接符 21"/>
                <wp:cNvGraphicFramePr/>
                <a:graphic xmlns:a="http://schemas.openxmlformats.org/drawingml/2006/main">
                  <a:graphicData uri="http://schemas.microsoft.com/office/word/2010/wordprocessingShape">
                    <wps:wsp>
                      <wps:cNvCnPr/>
                      <wps:spPr>
                        <a:xfrm>
                          <a:off x="0" y="0"/>
                          <a:ext cx="0" cy="26162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3.05pt;margin-top:6.7pt;height:20.6pt;width:0pt;z-index:251673600;mso-width-relative:page;mso-height-relative:page;" filled="f" stroked="t" coordsize="21600,21600" o:gfxdata="UEsFBgAAAAAAAAAAAAAAAAAAAAAAAFBLAwQKAAAAAACHTuJAAAAAAAAAAAAAAAAABAAAAGRycy9Q&#10;SwMEFAAAAAgAh07iQKpxSYXSAAAABwEAAA8AAABkcnMvZG93bnJldi54bWxNjs1OwzAQhO9IvIO1&#10;lbhRJxAiFOJUCIkLN9qqojfXXpw08TqK3aa8PQsXOM6PZr56dfGDOOMUu0AK8mUGAskE25FTsN28&#10;3j6CiEmT1UMgVPCFEVbN9VWtKxtmesfzOjnBIxQrraBNaaykjKZFr+MyjEicfYbJ68RyctJOeuZx&#10;P8i7LCul1x3xQ6tHfGnR9OuTV7CfHR2NNTt6nt/2rv/oI222St0s8uwJRMJL+ivDDz6jQ8NMh3Ai&#10;G8WgoChzbrJ/X4Dg/FcfFDwUJcimlv/5m29QSwMEFAAAAAgAh07iQE0IDTICAgAA4AMAAA4AAABk&#10;cnMvZTJvRG9jLnhtbK1TzY7TMBC+I/EOlu80bQ5lFTXdQ8tyQVAJeADXcRJL/tOMt2lfghdA4gSc&#10;gNPeeZpleQzGTun+cNkDOTjjGc83/r4ZL8731rCdAtTe1Xw2mXKmnPSNdl3N37+7eHbGGUbhGmG8&#10;UzU/KOTny6dPFkOoVOl7bxoFjEAcVkOoeR9jqIoCZa+swIkPylGw9WBFpC10RQNiIHRrinI6nReD&#10;hyaAlwqRvOsxyI+I8BhA37ZaqrWXl1a5OKKCMiISJex1QL7Mt21bJeObtkUVmak5MY15pSJkb9Na&#10;LBei6kCEXsvjFcRjrvCAkxXaUdET1FpEwS5B/wNltQSPvo0T6W0xEsmKEIvZ9IE2b3sRVOZCUmM4&#10;iY7/D1a+3m2A6abm5YwzJyx1/Obj1a8PX25+fL/+fPX756dkf/vKKE5iDQErylm5DRx3GDaQmO9b&#10;sOlPnNg+C3w4Caz2kcnRKclbzmfzMmtf3OYFwPhSecuSUXOMIHTXx5V3jrroYZb1FbtXGKkyJf5N&#10;SEWdv9DG5GYaxwaa6/L5lHosBU1oS5NBpg3EEl3HmTAdjb6MkCHRG92k9ASE0G1XBthOpIHJX6JN&#10;5e4dS7XXAvvxXA6No2R1pNdhtK352SlbVFFo88I1LB4CCSwA/HCENY7Qk6qjjsna+uaQ5c1+anyu&#10;fxzSNFl39zn79mEu/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CqcUmF0gAAAAcBAAAPAAAAAAAA&#10;AAEAIAAAADgAAABkcnMvZG93bnJldi54bWxQSwECFAAUAAAACACHTuJATQgNMgICAADgAwAADgAA&#10;AAAAAAABACAAAAA3AQAAZHJzL2Uyb0RvYy54bWxQSwUGAAAAAAYABgBZAQAAqwUAAAAA&#10;">
                <v:fill on="f" focussize="0,0"/>
                <v:stroke weight="1pt" color="#000000 [3213]" miterlimit="8" joinstyle="miter" endarrow="open"/>
                <v:imagedata o:title=""/>
                <o:lock v:ext="edit" aspectratio="f"/>
              </v:shape>
            </w:pict>
          </mc:Fallback>
        </mc:AlternateContent>
      </w:r>
      <w:r>
        <w:rPr>
          <w:color w:val="auto"/>
          <w:sz w:val="32"/>
        </w:rPr>
        <mc:AlternateContent>
          <mc:Choice Requires="wps">
            <w:drawing>
              <wp:anchor distT="0" distB="0" distL="114300" distR="114300" simplePos="0" relativeHeight="251676672" behindDoc="0" locked="0" layoutInCell="1" allowOverlap="1">
                <wp:simplePos x="0" y="0"/>
                <wp:positionH relativeFrom="column">
                  <wp:posOffset>-558800</wp:posOffset>
                </wp:positionH>
                <wp:positionV relativeFrom="paragraph">
                  <wp:posOffset>349885</wp:posOffset>
                </wp:positionV>
                <wp:extent cx="1866265" cy="2776220"/>
                <wp:effectExtent l="4445" t="4445" r="15240" b="19685"/>
                <wp:wrapNone/>
                <wp:docPr id="18" name="文本框 18"/>
                <wp:cNvGraphicFramePr/>
                <a:graphic xmlns:a="http://schemas.openxmlformats.org/drawingml/2006/main">
                  <a:graphicData uri="http://schemas.microsoft.com/office/word/2010/wordprocessingShape">
                    <wps:wsp>
                      <wps:cNvSpPr txBox="1"/>
                      <wps:spPr>
                        <a:xfrm>
                          <a:off x="0" y="0"/>
                          <a:ext cx="1866265" cy="277622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相关科室、分中心填写《淄博市公共资源交易中心见证不良行为函告单》，1个工作日内函告监督部门，10个工作日后跟踪函告处理结果。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pt;margin-top:27.55pt;height:218.6pt;width:146.95pt;z-index:251676672;mso-width-relative:page;mso-height-relative:page;" fillcolor="#FFFFFF [3201]" filled="t" stroked="t" coordsize="21600,21600" o:gfxdata="UEsFBgAAAAAAAAAAAAAAAAAAAAAAAFBLAwQKAAAAAACHTuJAAAAAAAAAAAAAAAAABAAAAGRycy9Q&#10;SwMEFAAAAAgAh07iQJU1zF3YAAAACgEAAA8AAABkcnMvZG93bnJldi54bWxNj81OwzAQhO9IvIO1&#10;SNxaOwmp0jSbSiAhIW6UXLi58TaJ6p/Idpvy9pgTHEczmvmm2d+MZlfyYXIWIVsLYGR7pyY7IHSf&#10;r6sKWIjSKqmdJYRvCrBv7+8aWSu32A+6HuLAUokNtUQYY5xrzkM/kpFh7WayyTs5b2RM0g9cebmk&#10;cqN5LsSGGznZtDDKmV5G6s+Hi0F42zzHL+rUuyrywi0d7/1JB8THh0zsgEW6xb8w/OIndGgT09Fd&#10;rApMI6yqKn2JCGWZAUuBXJRbYEeEp21eAG8b/v9C+wNQSwMEFAAAAAgAh07iQHyNjNFaAgAAuwQA&#10;AA4AAABkcnMvZTJvRG9jLnhtbK1UzW4TMRC+I/EOlu90k9CmJeqmCq2CkCpaqSDOjtebteQ/bCe7&#10;5QHgDXriwp3nynPw2Zu0acuhB/bgjGfG38x8M5PTs04rshY+SGtKOjwYUCIMt5U0y5J++Tx/c0JJ&#10;iMxUTFkjSnorAj2bvn512rqJGNnGqkp4AhATJq0raROjmxRF4I3QLBxYJwyMtfWaRVz9sqg8a4Gu&#10;VTEaDMZFa33lvOUiBGgveiPdIvqXANq6llxcWL7SwsQe1QvFIkoKjXSBTnO2dS14vKrrICJRJUWl&#10;MZ8IAnmRzmJ6yiZLz1wj+TYF9pIUntSkmTQIeg91wSIjKy+fQWnJvQ22jgfc6qIvJDOCKoaDJ9zc&#10;NMyJXAuoDu6e9PD/YPmn9bUnssIkoO+GaXR8c/dz8+vP5vcPAh0Ial2YwO/GwTN2720H550+QJnq&#10;7mqv0y8qIrCD3tt7ekUXCU+PTsbj0fiIEg7b6Ph4PBrlBhQPz50P8YOwmiShpB79y7Sy9WWISAWu&#10;O5cULVglq7lUKl/8cnGuPFkz9Hqev5QlnjxyU4a0JR2/PRpk5Ee2sA8xyN9zCAAqA9xES19+kmK3&#10;6LZcLWx1C6q87actOD6XKOeShXjNPMYL7GAB4xWOWllkY7cSJY313/+lT/7oOqyUtBjXkoZvK+YF&#10;JeqjwTy8Gx4epvnOl8OjYzBL/L5lsW8xK31uwdIQq+54FpN/VDux9lZ/xZ7OUlSYmOGIXdK4E89j&#10;v0TYcy5ms+yEiXYsXpobxxN06omxs1W0tcy9SzT13GzZw0zn/mz3Ly3N/j17PfznTP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FgAAAGRy&#10;cy9QSwECFAAUAAAACACHTuJAlTXMXdgAAAAKAQAADwAAAAAAAAABACAAAAA4AAAAZHJzL2Rvd25y&#10;ZXYueG1sUEsBAhQAFAAAAAgAh07iQHyNjNFaAgAAuwQAAA4AAAAAAAAAAQAgAAAAPQEAAGRycy9l&#10;Mm9Eb2MueG1sUEsFBgAAAAAGAAYAWQEAAAkGA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相关科室、分中心填写《淄博市公共资源交易中心见证不良行为函告单》，1个工作日内函告监督部门，10个工作日后跟踪函告处理结果。</w:t>
                      </w:r>
                    </w:p>
                  </w:txbxContent>
                </v:textbox>
              </v:shape>
            </w:pict>
          </mc:Fallback>
        </mc:AlternateContent>
      </w:r>
      <w:r>
        <w:rPr>
          <w:color w:val="auto"/>
          <w:sz w:val="32"/>
        </w:rPr>
        <mc:AlternateContent>
          <mc:Choice Requires="wps">
            <w:drawing>
              <wp:anchor distT="0" distB="0" distL="114300" distR="114300" simplePos="0" relativeHeight="251672576" behindDoc="0" locked="0" layoutInCell="1" allowOverlap="1">
                <wp:simplePos x="0" y="0"/>
                <wp:positionH relativeFrom="column">
                  <wp:posOffset>4264025</wp:posOffset>
                </wp:positionH>
                <wp:positionV relativeFrom="paragraph">
                  <wp:posOffset>369570</wp:posOffset>
                </wp:positionV>
                <wp:extent cx="1955165" cy="2747010"/>
                <wp:effectExtent l="4445" t="4445" r="21590" b="10795"/>
                <wp:wrapNone/>
                <wp:docPr id="16" name="文本框 16"/>
                <wp:cNvGraphicFramePr/>
                <a:graphic xmlns:a="http://schemas.openxmlformats.org/drawingml/2006/main">
                  <a:graphicData uri="http://schemas.microsoft.com/office/word/2010/wordprocessingShape">
                    <wps:wsp>
                      <wps:cNvSpPr txBox="1"/>
                      <wps:spPr>
                        <a:xfrm>
                          <a:off x="0" y="0"/>
                          <a:ext cx="1955165" cy="274701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相关科室、分中心填写《淄博市公共资源交易中心进场社会中介机构不良行为记录通知单》，同步通报给社会中介机构。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75pt;margin-top:29.1pt;height:216.3pt;width:153.95pt;z-index:251672576;mso-width-relative:page;mso-height-relative:page;" fillcolor="#FFFFFF [3201]" filled="t" stroked="t" coordsize="21600,21600" o:gfxdata="UEsFBgAAAAAAAAAAAAAAAAAAAAAAAFBLAwQKAAAAAACHTuJAAAAAAAAAAAAAAAAABAAAAGRycy9Q&#10;SwMEFAAAAAgAh07iQDqwWXbYAAAACgEAAA8AAABkcnMvZG93bnJldi54bWxNj8FOwzAQRO9I/IO1&#10;SNyonbRNkxCnEkhIiBslF25uvE0i7HVku035e8wJjqt5mnnb7K/WsAv6MDmSkK0EMKTe6YkGCd3H&#10;y0MJLERFWhlHKOEbA+zb25tG1dot9I6XQxxYKqFQKwljjHPNeehHtCqs3IyUspPzVsV0+oFrr5ZU&#10;bg3PhSi4VROlhVHN+Dxi/3U4WwmvxVP8xE6/6XW+dkvHe38yQcr7u0w8Aot4jX8w/OondWiT09Gd&#10;SQdmJBS7bJtQCdsyB5aAaldtgB0lbCpRAm8b/v+F9gdQSwMEFAAAAAgAh07iQNX9Gk1XAgAAuwQA&#10;AA4AAABkcnMvZTJvRG9jLnhtbK1UsW7bMBDdC/QfCO61bNd2GiNy4MZwUcBoAqRFZ5qiLAIkjyVp&#10;S+4HtH+QqUv3fpe/o0dKTpykQ4ZqoI680+O9d3e6uGy0IjvhvAST00GvT4kwHAppNjn98nn55h0l&#10;PjBTMAVG5HQvPL2cvX51UdupGEIFqhCOIIjx09rmtArBTrPM80po5ntghUFnCU6zgFu3yQrHakTX&#10;Khv2+5OsBldYB1x4j6eL1kk7RPcSQChLycUC+FYLE1pUJxQLSMlX0no6S9mWpeDhuiy9CETlFJmG&#10;tOIlaK/jms0u2HTjmK0k71JgL0nhCSfNpMFL76EWLDCydfIZlJbcgYcy9DjorCWSFEEWg/4TbW4r&#10;ZkXiglJ7ey+6/3+w/NPuxhFZYCdMKDFMY8UPdz8Pv/4cfv8geIYC1dZPMe7WYmRo3kODwcdzj4eR&#10;d1M6Hd/IiKAf5d3fyyuaQHj86Hw8HkzGlHD0Dc9GZ8g44mQPn1vnwwcBmkQjpw7rl2Rlu5UPbegx&#10;JN7mQcliKZVKG7dZXylHdgxrvUxPh/4oTBlS53TydtxPyI98/hSin57nEJiuMph1lKWlH63QrJtO&#10;qzUUe5TKQdtt3vKlRDor5sMNc9heqA4OYLjGpVSA2UBnUVKB+/6v8xiPVUcvJTW2a079ty1zghL1&#10;0WA/nA9Go9jfaTManw1x404961OP2eorQJUGOOqWJzPGB3U0Swf6K87pPN6KLmY43p3TcDSvQjtE&#10;OOdczOcpCDvasrAyt5ZH6FgTA/NtgFKm2kWZWm069bCnU/W7+YtDc7pPUQ//nNl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OrBZdtgAAAAKAQAADwAAAAAAAAABACAAAAA4AAAAZHJzL2Rvd25yZXYu&#10;eG1sUEsBAhQAFAAAAAgAh07iQNX9Gk1XAgAAuwQAAA4AAAAAAAAAAQAgAAAAPQEAAGRycy9lMm9E&#10;b2MueG1sUEsFBgAAAAAGAAYAWQEAAAYGAAAAAA==&#10;">
                <v:fill on="t" focussize="0,0"/>
                <v:stroke weight="0.5pt" color="#000000 [3213]" joinstyle="round"/>
                <v:imagedata o:title=""/>
                <o:lock v:ext="edit" aspectratio="f"/>
                <v:textbox>
                  <w:txbxContent>
                    <w:p>
                      <w:pPr>
                        <w:jc w:val="left"/>
                        <w:rPr>
                          <w:rFonts w:hint="default"/>
                          <w:lang w:val="en-US" w:eastAsia="zh-CN"/>
                        </w:rPr>
                      </w:pPr>
                      <w:r>
                        <w:rPr>
                          <w:rFonts w:hint="eastAsia" w:ascii="仿宋_GB2312" w:hAnsi="仿宋_GB2312" w:eastAsia="仿宋_GB2312" w:cs="仿宋_GB2312"/>
                          <w:color w:val="auto"/>
                          <w:sz w:val="28"/>
                          <w:szCs w:val="28"/>
                          <w:lang w:val="en-US" w:eastAsia="zh-CN"/>
                        </w:rPr>
                        <w:t>相关科室、分中心填写《淄博市公共资源交易中心进场社会中介机构不良行为记录通知单》，同步通报给社会中介机构。</w:t>
                      </w:r>
                    </w:p>
                  </w:txbxContent>
                </v:textbox>
              </v:shape>
            </w:pict>
          </mc:Fallback>
        </mc:AlternateContent>
      </w: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r>
        <w:rPr>
          <w:sz w:val="32"/>
        </w:rPr>
        <mc:AlternateContent>
          <mc:Choice Requires="wps">
            <w:drawing>
              <wp:anchor distT="0" distB="0" distL="114300" distR="114300" simplePos="0" relativeHeight="251681792" behindDoc="0" locked="0" layoutInCell="1" allowOverlap="1">
                <wp:simplePos x="0" y="0"/>
                <wp:positionH relativeFrom="column">
                  <wp:posOffset>5241925</wp:posOffset>
                </wp:positionH>
                <wp:positionV relativeFrom="paragraph">
                  <wp:posOffset>353060</wp:posOffset>
                </wp:positionV>
                <wp:extent cx="0" cy="474980"/>
                <wp:effectExtent l="50800" t="0" r="63500" b="1270"/>
                <wp:wrapNone/>
                <wp:docPr id="29" name="直接箭头连接符 29"/>
                <wp:cNvGraphicFramePr/>
                <a:graphic xmlns:a="http://schemas.openxmlformats.org/drawingml/2006/main">
                  <a:graphicData uri="http://schemas.microsoft.com/office/word/2010/wordprocessingShape">
                    <wps:wsp>
                      <wps:cNvCnPr/>
                      <wps:spPr>
                        <a:xfrm>
                          <a:off x="6249670" y="6254750"/>
                          <a:ext cx="0" cy="47498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12.75pt;margin-top:27.8pt;height:37.4pt;width:0pt;z-index:251681792;mso-width-relative:page;mso-height-relative:page;" filled="f" stroked="t" coordsize="21600,21600" o:gfxdata="UEsFBgAAAAAAAAAAAAAAAAAAAAAAAFBLAwQKAAAAAACHTuJAAAAAAAAAAAAAAAAABAAAAGRycy9Q&#10;SwMEFAAAAAgAh07iQKd3IxzWAAAACgEAAA8AAABkcnMvZG93bnJldi54bWxNj8FOwzAMhu9IvENk&#10;JG4s2aDTVJpOCIkLN7YJsVuWmLS0caomW8fbY8SBHW1/+v391focenHCMbWRNMxnCgSSja4lr2G3&#10;fblbgUjZkDN9JNTwjQnW9fVVZUoXJ3rD0yZ7wSGUSqOhyXkopUy2wWDSLA5IfPuMYzCZx9FLN5qJ&#10;w0MvF0otZTAt8YfGDPjcoO02x6BhP3n6ss6+09P0uvfdR5dou9P69mauHkFkPOd/GH71WR1qdjrE&#10;I7kkeg2rRVEwqqEoliAY+FscmLxXDyDrSl5WqH8AUEsDBBQAAAAIAIdO4kAA4NkAEAIAAOwDAAAO&#10;AAAAZHJzL2Uyb0RvYy54bWytU82O0zAQviPxDpbvNG3U7U/UdA8tywVBJeABXMdJLPlPY2/TvgQv&#10;gMQJOAGnvfM0sDwGYyd0YbnsgRySccbzzXyfP68uj1qRgwAvrSnpZDSmRBhuK2makr55ffVkQYkP&#10;zFRMWSNKehKeXq4fP1p1rhC5ba2qBBAEMb7oXEnbEFyRZZ63QjM/sk4YTNYWNAu4hCargHWIrlWW&#10;j8ezrLNQObBceI9/t32SDojwEEBb15KLreXXWpjQo4JQLCAl30rn6TpNW9eCh5d17UUgqqTINKQ3&#10;NsF4H9/ZesWKBphrJR9GYA8Z4R4nzaTBpmeoLQuMXIP8B0pLDtbbOoy41VlPJCmCLCbje9q8apkT&#10;iQtK7d1ZdP//YPmLww6IrEqaLykxTOOJ3767+fH24+3XL98/3Pz89j7Gnz8RzKNYnfMF1mzMDoaV&#10;dzuIzI816PhFTuRY0lk+Xc7mKPMpxhfT+cUgtjgGwnEDpjjmpvPpcpFS2R2GAx+eCatJDErqAzDZ&#10;tGFjjcETtTBJWrPDcx9wCiz8XRAHMPZKKpUOVhnSocfz+Th2Y+jWGl2CoXbI2JuGEqYavAY8QIL0&#10;VskqlkcgD81+o4AcWDRPeqIE2O6vbbH3lvm235dSva20DHhTlNQlXZyrWRGYVE9NRcLJodgMwHYD&#10;rDKIHhXuNY3R3lanJHX6jyZI/QfDRpf9uU7Vd5d0/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n&#10;dyMc1gAAAAoBAAAPAAAAAAAAAAEAIAAAADgAAABkcnMvZG93bnJldi54bWxQSwECFAAUAAAACACH&#10;TuJAAODZABACAADsAwAADgAAAAAAAAABACAAAAA7AQAAZHJzL2Uyb0RvYy54bWxQSwUGAAAAAAYA&#10;BgBZAQAAvQUAAAAA&#10;">
                <v:fill on="f" focussize="0,0"/>
                <v:stroke weight="1pt" color="#000000 [3213]" miterlimit="8" joinstyle="miter" endarrow="open"/>
                <v:imagedata o:title=""/>
                <o:lock v:ext="edit" aspectratio="f"/>
              </v:shape>
            </w:pict>
          </mc:Fallback>
        </mc:AlternateContent>
      </w:r>
    </w:p>
    <w:p>
      <w:pPr>
        <w:jc w:val="right"/>
        <w:rPr>
          <w:rFonts w:hint="eastAsia" w:ascii="仿宋_GB2312" w:hAnsi="宋体" w:eastAsia="仿宋_GB2312" w:cs="宋体"/>
          <w:color w:val="auto"/>
          <w:kern w:val="0"/>
          <w:sz w:val="32"/>
          <w:szCs w:val="32"/>
          <w:lang w:val="en-US" w:eastAsia="zh-CN"/>
        </w:rPr>
      </w:pPr>
      <w:r>
        <w:rPr>
          <w:sz w:val="32"/>
        </w:rPr>
        <mc:AlternateContent>
          <mc:Choice Requires="wps">
            <w:drawing>
              <wp:anchor distT="0" distB="0" distL="114300" distR="114300" simplePos="0" relativeHeight="251686912" behindDoc="0" locked="0" layoutInCell="1" allowOverlap="1">
                <wp:simplePos x="0" y="0"/>
                <wp:positionH relativeFrom="column">
                  <wp:posOffset>1691005</wp:posOffset>
                </wp:positionH>
                <wp:positionV relativeFrom="paragraph">
                  <wp:posOffset>151130</wp:posOffset>
                </wp:positionV>
                <wp:extent cx="2125345" cy="1170305"/>
                <wp:effectExtent l="0" t="0" r="0" b="0"/>
                <wp:wrapNone/>
                <wp:docPr id="40" name="文本框 40"/>
                <wp:cNvGraphicFramePr/>
                <a:graphic xmlns:a="http://schemas.openxmlformats.org/drawingml/2006/main">
                  <a:graphicData uri="http://schemas.microsoft.com/office/word/2010/wordprocessingShape">
                    <wps:wsp>
                      <wps:cNvSpPr txBox="1"/>
                      <wps:spPr>
                        <a:xfrm>
                          <a:off x="3321685" y="6667500"/>
                          <a:ext cx="2125345" cy="1170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是，社会中介机构应在3</w:t>
                            </w:r>
                            <w:r>
                              <w:rPr>
                                <w:rFonts w:hint="default" w:ascii="仿宋_GB2312" w:hAnsi="仿宋_GB2312" w:eastAsia="仿宋_GB2312" w:cs="仿宋_GB2312"/>
                                <w:color w:val="auto"/>
                                <w:sz w:val="28"/>
                                <w:szCs w:val="28"/>
                                <w:lang w:val="en-US" w:eastAsia="zh-CN"/>
                              </w:rPr>
                              <w:t>个工作日内以书面形式向</w:t>
                            </w:r>
                            <w:r>
                              <w:rPr>
                                <w:rFonts w:hint="eastAsia" w:ascii="仿宋_GB2312" w:hAnsi="仿宋_GB2312" w:eastAsia="仿宋_GB2312" w:cs="仿宋_GB2312"/>
                                <w:color w:val="auto"/>
                                <w:sz w:val="28"/>
                                <w:szCs w:val="28"/>
                                <w:lang w:val="en-US" w:eastAsia="zh-CN"/>
                              </w:rPr>
                              <w:t>相关科室、分中心</w:t>
                            </w:r>
                            <w:r>
                              <w:rPr>
                                <w:rFonts w:hint="default" w:ascii="仿宋_GB2312" w:hAnsi="仿宋_GB2312" w:eastAsia="仿宋_GB2312" w:cs="仿宋_GB2312"/>
                                <w:color w:val="auto"/>
                                <w:sz w:val="28"/>
                                <w:szCs w:val="28"/>
                                <w:lang w:val="en-US" w:eastAsia="zh-CN"/>
                              </w:rPr>
                              <w:t>反映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15pt;margin-top:11.9pt;height:92.15pt;width:167.35pt;z-index:251686912;mso-width-relative:page;mso-height-relative:page;" filled="f" stroked="f" coordsize="21600,21600" o:gfxdata="UEsFBgAAAAAAAAAAAAAAAAAAAAAAAFBLAwQKAAAAAACHTuJAAAAAAAAAAAAAAAAABAAAAGRycy9Q&#10;SwMEFAAAAAgAh07iQOwedd3aAAAACgEAAA8AAABkcnMvZG93bnJldi54bWxNj81Lw0AQxe+C/8My&#10;gje7mxRDiNmUEiiC6KG1F2+TZJqE7kfMbj/0r3c86W1m3uPN75WrqzXiTHMYvdOQLBQIcq3vRtdr&#10;2L9vHnIQIaLr0HhHGr4owKq6vSmx6PzFbem8i73gEBcK1DDEOBVShnYgi2HhJ3KsHfxsMfI697Kb&#10;8cLh1shUqUxaHB1/GHCieqD2uDtZDS/15g23TWrzb1M/vx7W0+f+41Hr+7tEPYGIdI1/ZvjFZ3So&#10;mKnxJ9cFYTSkWbZkKw9LrsCGTCVcruGDyhOQVSn/V6h+AFBLAwQUAAAACACHTuJA9o0ot0kCAAB1&#10;BAAADgAAAGRycy9lMm9Eb2MueG1srVRLbtswEN0X6B0I7ht9bDmpYTlwY6QoEDQB0qJrmqIsASSH&#10;JelI6QHaG2TVTfc9l8/RISUnRtpFFt3QQ87zG743Qy3OeyXJnbCuBV3S7CSlRGgOVau3Jf386fLN&#10;GSXOM10xCVqU9F44er58/WrRmbnIoQFZCUuQRLt5Z0raeG/mSeJ4IxRzJ2CExmQNVjGPW7tNKss6&#10;ZFcyydN0lnRgK2OBC+fwdD0k6choX0IIdd1ysQa+U0L7gdUKyTxKck1rHF3G29a14P66rp3wRJYU&#10;lfq4YhGMN2FNlgs231pmmpaPV2AvucIzTYq1Gos+Uq2ZZ2Rn27+oVMstOKj9CQeVDEKiI6giS595&#10;c9swI6IWtNqZR9Pd/6PlH+9uLGmrkk7REs0Udnz/8GP/8/f+13eCZ2hQZ9wccbcGkb5/Bz2OzeHc&#10;4WHQ3ddWhV9URDA/meTZ7Kyg5L6ks9nstEhHq0XvCUdAnuXFZIoAjogsO00naRE4kycqY51/L0CR&#10;EJTUYi+jxezuyvkBeoCEyhouWyljP6UmHdadFGn8w2MGyaXGGkHQcPEQ+X7Tjyo3UN2jSAvDnDjD&#10;L1ssfsWcv2EWBwM9wqfjr3GpJWARGCNKGrDf/nUe8NgvzFLS4aCV1H3dMSsokR80dvJtNg3W+7iZ&#10;Fqc5buxxZnOc0Tt1ATjLGT5Sw2MY8F4ewtqC+oIvbBWqYoppjrVL6g/hhR/GH18oF6tVBOEsGuav&#10;9K3hgXqwc7XzULfR6WDT4M3oHk5j7NX4csK4H+8j6ulrsf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7B513doAAAAKAQAADwAAAAAAAAABACAAAAA4AAAAZHJzL2Rvd25yZXYueG1sUEsBAhQAFAAA&#10;AAgAh07iQPaNKLdJAgAAdQQAAA4AAAAAAAAAAQAgAAAAPwEAAGRycy9lMm9Eb2MueG1sUEsFBgAA&#10;AAAGAAYAWQEAAPo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是，社会中介机构应在3</w:t>
                      </w:r>
                      <w:r>
                        <w:rPr>
                          <w:rFonts w:hint="default" w:ascii="仿宋_GB2312" w:hAnsi="仿宋_GB2312" w:eastAsia="仿宋_GB2312" w:cs="仿宋_GB2312"/>
                          <w:color w:val="auto"/>
                          <w:sz w:val="28"/>
                          <w:szCs w:val="28"/>
                          <w:lang w:val="en-US" w:eastAsia="zh-CN"/>
                        </w:rPr>
                        <w:t>个工作日内以书面形式向</w:t>
                      </w:r>
                      <w:r>
                        <w:rPr>
                          <w:rFonts w:hint="eastAsia" w:ascii="仿宋_GB2312" w:hAnsi="仿宋_GB2312" w:eastAsia="仿宋_GB2312" w:cs="仿宋_GB2312"/>
                          <w:color w:val="auto"/>
                          <w:sz w:val="28"/>
                          <w:szCs w:val="28"/>
                          <w:lang w:val="en-US" w:eastAsia="zh-CN"/>
                        </w:rPr>
                        <w:t>相关科室、分中心</w:t>
                      </w:r>
                      <w:r>
                        <w:rPr>
                          <w:rFonts w:hint="default" w:ascii="仿宋_GB2312" w:hAnsi="仿宋_GB2312" w:eastAsia="仿宋_GB2312" w:cs="仿宋_GB2312"/>
                          <w:color w:val="auto"/>
                          <w:sz w:val="28"/>
                          <w:szCs w:val="28"/>
                          <w:lang w:val="en-US" w:eastAsia="zh-CN"/>
                        </w:rPr>
                        <w:t>反映</w:t>
                      </w:r>
                    </w:p>
                  </w:txbxContent>
                </v:textbox>
              </v:shape>
            </w:pict>
          </mc:Fallback>
        </mc:AlternateContent>
      </w:r>
      <w:r>
        <w:rPr>
          <w:color w:val="auto"/>
          <w:sz w:val="32"/>
        </w:rPr>
        <mc:AlternateContent>
          <mc:Choice Requires="wps">
            <w:drawing>
              <wp:anchor distT="0" distB="0" distL="114300" distR="114300" simplePos="0" relativeHeight="251675648" behindDoc="0" locked="0" layoutInCell="1" allowOverlap="1">
                <wp:simplePos x="0" y="0"/>
                <wp:positionH relativeFrom="column">
                  <wp:posOffset>-617220</wp:posOffset>
                </wp:positionH>
                <wp:positionV relativeFrom="paragraph">
                  <wp:posOffset>256540</wp:posOffset>
                </wp:positionV>
                <wp:extent cx="2106930" cy="1407795"/>
                <wp:effectExtent l="4445" t="4445" r="22225" b="16510"/>
                <wp:wrapNone/>
                <wp:docPr id="14" name="文本框 14"/>
                <wp:cNvGraphicFramePr/>
                <a:graphic xmlns:a="http://schemas.openxmlformats.org/drawingml/2006/main">
                  <a:graphicData uri="http://schemas.microsoft.com/office/word/2010/wordprocessingShape">
                    <wps:wsp>
                      <wps:cNvSpPr txBox="1"/>
                      <wps:spPr>
                        <a:xfrm>
                          <a:off x="0" y="0"/>
                          <a:ext cx="2106930" cy="140779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w:t>
                            </w:r>
                            <w:r>
                              <w:rPr>
                                <w:rFonts w:hint="default" w:ascii="仿宋_GB2312" w:hAnsi="仿宋_GB2312" w:eastAsia="仿宋_GB2312" w:cs="仿宋_GB2312"/>
                                <w:color w:val="auto"/>
                                <w:sz w:val="28"/>
                                <w:szCs w:val="28"/>
                                <w:lang w:val="en-US" w:eastAsia="zh-CN"/>
                              </w:rPr>
                              <w:t>在接到书面反映后</w:t>
                            </w:r>
                            <w:r>
                              <w:rPr>
                                <w:rFonts w:hint="eastAsia" w:ascii="仿宋_GB2312" w:hAnsi="仿宋_GB2312" w:eastAsia="仿宋_GB2312" w:cs="仿宋_GB2312"/>
                                <w:color w:val="auto"/>
                                <w:sz w:val="28"/>
                                <w:szCs w:val="28"/>
                                <w:lang w:val="en-US" w:eastAsia="zh-CN"/>
                              </w:rPr>
                              <w:t>5个</w:t>
                            </w:r>
                            <w:r>
                              <w:rPr>
                                <w:rFonts w:hint="default" w:ascii="仿宋_GB2312" w:hAnsi="仿宋_GB2312" w:eastAsia="仿宋_GB2312" w:cs="仿宋_GB2312"/>
                                <w:color w:val="auto"/>
                                <w:sz w:val="28"/>
                                <w:szCs w:val="28"/>
                                <w:lang w:val="en-US" w:eastAsia="zh-CN"/>
                              </w:rPr>
                              <w:t>工作日内作出答复</w:t>
                            </w:r>
                            <w:r>
                              <w:rPr>
                                <w:rFonts w:hint="eastAsia" w:ascii="仿宋_GB2312" w:hAnsi="仿宋_GB2312" w:eastAsia="仿宋_GB2312" w:cs="仿宋_GB2312"/>
                                <w:color w:val="auto"/>
                                <w:sz w:val="28"/>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6pt;margin-top:20.2pt;height:110.85pt;width:165.9pt;z-index:251675648;mso-width-relative:page;mso-height-relative:page;" fillcolor="#FFFFFF [3201]" filled="t" stroked="t" coordsize="21600,21600" o:gfxdata="UEsFBgAAAAAAAAAAAAAAAAAAAAAAAFBLAwQKAAAAAACHTuJAAAAAAAAAAAAAAAAABAAAAGRycy9Q&#10;SwMEFAAAAAgAh07iQPMCCVbXAAAACgEAAA8AAABkcnMvZG93bnJldi54bWxNj01LxDAQhu+C/yGM&#10;4G03aVqq1qYLCoJ4c+3FW7aZbYv5KEl2u/57x5PeZpiHd5633V2cZWeMaQ5eQbEVwNAPwcx+VNB/&#10;vGzugaWsvdE2eFTwjQl23fVVqxsTVv+O530eGYX41GgFU85Lw3kaJnQ6bcOCnm7HEJ3OtMaRm6hX&#10;CneWSyFq7vTs6cOkF3yecPjan5yC1/opf2Jv3kwpy7D2fIhHm5S6vSnEI7CMl/wHw68+qUNHTodw&#10;8iYxq2DzcCcJVVCJChgBsqxqYAcaalkA71r+v0L3A1BLAwQUAAAACACHTuJAMq3YElgCAAC7BAAA&#10;DgAAAGRycy9lMm9Eb2MueG1srVTBbtswDL0P2D8Iui920jRdgzpF1iLDgGIt0A07K7IcC5BETVJi&#10;Zx+w/cFOu+y+78p3jJKdNG136GE+yBRJP5KPpC8uW63IRjgvwRR0OMgpEYZDKc2qoJ8/Ld68pcQH&#10;ZkqmwIiCboWnl7PXry4aOxUjqEGVwhEEMX7a2ILWIdhplnleC838AKwwaKzAaRbw6lZZ6ViD6Fpl&#10;ozyfZA240jrgwnvUXndG2iO6lwBCVUkuroGvtTChQ3VCsYAl+VpaT2cp26oSPNxWlReBqIJipSGd&#10;GATlZTyz2QWbrhyzteR9CuwlKTypSTNpMOgB6poFRtZOPoPSkjvwUIUBB511hSRGsIph/oSb+5pZ&#10;kWpBqr09kO7/Hyz/uLlzRJY4CWNKDNPY8d3PH7tff3a/vxPUIUGN9VP0u7foGdp30KLzXu9RGetu&#10;K6fjGysiaEd6twd6RRsIR+VomE/OT9DE0TYc52dn56cRJ3v43Dof3gvQJAoFddi/RCvb3PjQue5d&#10;YjQPSpYLqVS6uNXySjmyYdjrRXp69EduypCmoJOT0zwhP7L5Y4g8Pc8hMF1lMOtIS1d+lEK7bHuu&#10;llBukSoH3bR5yxcSy7lhPtwxh+OFFOAChls8KgWYDfQSJTW4b//SR3/sOlopaXBcC+q/rpkTlKgP&#10;BufhfDgeI2xIl/Hp2Qgv7tiyPLaYtb4CZGmIq255EqN/UHuxcqC/4J7OY1Q0McMxdkHDXrwK3RLh&#10;nnMxnycnnGjLwo25tzxCx54YmK8DVDL1LtLUcdOzhzOdut/vX1ya43vyevjnz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8wIJVtcAAAAKAQAADwAAAAAAAAABACAAAAA4AAAAZHJzL2Rvd25yZXYu&#10;eG1sUEsBAhQAFAAAAAgAh07iQDKt2BJYAgAAuwQAAA4AAAAAAAAAAQAgAAAAPAEAAGRycy9lMm9E&#10;b2MueG1sUEsFBgAAAAAGAAYAWQEAAAYGA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相关科室、分中心</w:t>
                      </w:r>
                      <w:r>
                        <w:rPr>
                          <w:rFonts w:hint="default" w:ascii="仿宋_GB2312" w:hAnsi="仿宋_GB2312" w:eastAsia="仿宋_GB2312" w:cs="仿宋_GB2312"/>
                          <w:color w:val="auto"/>
                          <w:sz w:val="28"/>
                          <w:szCs w:val="28"/>
                          <w:lang w:val="en-US" w:eastAsia="zh-CN"/>
                        </w:rPr>
                        <w:t>在接到书面反映后</w:t>
                      </w:r>
                      <w:r>
                        <w:rPr>
                          <w:rFonts w:hint="eastAsia" w:ascii="仿宋_GB2312" w:hAnsi="仿宋_GB2312" w:eastAsia="仿宋_GB2312" w:cs="仿宋_GB2312"/>
                          <w:color w:val="auto"/>
                          <w:sz w:val="28"/>
                          <w:szCs w:val="28"/>
                          <w:lang w:val="en-US" w:eastAsia="zh-CN"/>
                        </w:rPr>
                        <w:t>5个</w:t>
                      </w:r>
                      <w:r>
                        <w:rPr>
                          <w:rFonts w:hint="default" w:ascii="仿宋_GB2312" w:hAnsi="仿宋_GB2312" w:eastAsia="仿宋_GB2312" w:cs="仿宋_GB2312"/>
                          <w:color w:val="auto"/>
                          <w:sz w:val="28"/>
                          <w:szCs w:val="28"/>
                          <w:lang w:val="en-US" w:eastAsia="zh-CN"/>
                        </w:rPr>
                        <w:t>工作日内作出答复</w:t>
                      </w:r>
                      <w:r>
                        <w:rPr>
                          <w:rFonts w:hint="eastAsia" w:ascii="仿宋_GB2312" w:hAnsi="仿宋_GB2312" w:eastAsia="仿宋_GB2312" w:cs="仿宋_GB2312"/>
                          <w:color w:val="auto"/>
                          <w:sz w:val="28"/>
                          <w:szCs w:val="28"/>
                          <w:lang w:val="en-US" w:eastAsia="zh-CN"/>
                        </w:rPr>
                        <w:t>。</w:t>
                      </w:r>
                    </w:p>
                  </w:txbxContent>
                </v:textbox>
              </v:shape>
            </w:pict>
          </mc:Fallback>
        </mc:AlternateContent>
      </w:r>
    </w:p>
    <w:p>
      <w:pPr>
        <w:jc w:val="right"/>
        <w:rPr>
          <w:rFonts w:hint="eastAsia" w:ascii="仿宋_GB2312" w:hAnsi="宋体" w:eastAsia="仿宋_GB2312" w:cs="宋体"/>
          <w:color w:val="auto"/>
          <w:kern w:val="0"/>
          <w:sz w:val="32"/>
          <w:szCs w:val="32"/>
          <w:lang w:val="en-US" w:eastAsia="zh-CN"/>
        </w:rPr>
      </w:pPr>
      <w:r>
        <w:rPr>
          <w:sz w:val="32"/>
        </w:rPr>
        <mc:AlternateContent>
          <mc:Choice Requires="wps">
            <w:drawing>
              <wp:anchor distT="0" distB="0" distL="114300" distR="114300" simplePos="0" relativeHeight="251685888" behindDoc="0" locked="0" layoutInCell="1" allowOverlap="1">
                <wp:simplePos x="0" y="0"/>
                <wp:positionH relativeFrom="column">
                  <wp:posOffset>1522095</wp:posOffset>
                </wp:positionH>
                <wp:positionV relativeFrom="paragraph">
                  <wp:posOffset>422275</wp:posOffset>
                </wp:positionV>
                <wp:extent cx="2508250" cy="0"/>
                <wp:effectExtent l="0" t="50800" r="6350" b="63500"/>
                <wp:wrapNone/>
                <wp:docPr id="39" name="直接箭头连接符 39"/>
                <wp:cNvGraphicFramePr/>
                <a:graphic xmlns:a="http://schemas.openxmlformats.org/drawingml/2006/main">
                  <a:graphicData uri="http://schemas.microsoft.com/office/word/2010/wordprocessingShape">
                    <wps:wsp>
                      <wps:cNvCnPr>
                        <a:stCxn id="23" idx="1"/>
                      </wps:cNvCnPr>
                      <wps:spPr>
                        <a:xfrm flipH="1">
                          <a:off x="2529840" y="6929120"/>
                          <a:ext cx="25082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19.85pt;margin-top:33.25pt;height:0pt;width:197.5pt;z-index:251685888;mso-width-relative:page;mso-height-relative:page;" filled="f" stroked="t" coordsize="21600,21600" o:gfxdata="UEsFBgAAAAAAAAAAAAAAAAAAAAAAAFBLAwQKAAAAAACHTuJAAAAAAAAAAAAAAAAABAAAAGRycy9Q&#10;SwMEFAAAAAgAh07iQPjMOdrZAAAACQEAAA8AAABkcnMvZG93bnJldi54bWxNj8FKxDAQhu+C7xBG&#10;8Oam7WrV2nSRirC4K+IqiLdsM7bFZFKStFvf3ogHPc4/H/98U65mo9mEzveWBKSLBBhSY1VPrYDX&#10;l/uzK2A+SFJSW0IBX+hhVR0flbJQ9kDPOO1Cy2IJ+UIK6EIYCs5906GRfmEHpLj7sM7IEEfXcuXk&#10;IZYbzbMkybmRPcULnRyw7rD53I1GwFpn24fNtn67S+v1+LhxT++38yTE6Uma3AALOIc/GH70ozpU&#10;0WlvR1KeaQHZ8voyogLy/AJYBPLleQz2vwGvSv7/g+obUEsDBBQAAAAIAIdO4kCvQEv3KAIAAB4E&#10;AAAOAAAAZHJzL2Uyb0RvYy54bWytU82O0zAQviPxDpbvNGmWXdqo6R5aFg4IKgEP4DpOYsl/Gnub&#10;9iV4ASROwAk47Z2ngeUxGDuhuyyXPZBDYmfm+zzzzefF+V4rshPgpTUVnU5ySoThtpamrejbNxeP&#10;ZpT4wEzNlDWiogfh6fny4YNF70pR2M6qWgBBEuPL3lW0C8GVWeZ5JzTzE+uEwWBjQbOAW2izGliP&#10;7FplRZ6fZb2F2oHlwnv8ux6CdGSE+xDappFcrC2/1MKEgRWEYgFb8p10ni5TtU0jeHjVNF4EoiqK&#10;nYb0xkNwvY3vbLlgZQvMdZKPJbD7lHCnJ82kwUOPVGsWGLkE+Q+Vlhyst02YcKuzoZGkCHYxze9o&#10;87pjTqReUGrvjqL7/0fLX+42QGRd0ZM5JYZpnPj1+6uf7z5df/v64+PVr+8f4vrLZ4JxFKt3vkTM&#10;ymwgtuvDam8SvDih+N2jo2Ja9lde3Hg3IPYNaNIo6Z7H1MiBIhDEFafFfPYY53Ko6Nm8mE+LcTpi&#10;HwhPCfmsOMUEjhkplrEy0kUSBz48E1aTuKioD8Bk24WVNQY9YGE4iu1e+BDLuwFEsLEXUqlkBWVI&#10;j4UVT/J4EEN/N+grXGqHGnnTUsJUixeHB0jVe6tkHeFJDmi3KwVkx6Ld0pPUQKFup8Ua18x3Q14K&#10;DUbUMuDdUlJXdHZEszIwqZ6amoSDw/EwANuPtMqMWg/yRqG3tj5s4M8M0Dap3dHi0Ze39wl9c62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D4zDna2QAAAAkBAAAPAAAAAAAAAAEAIAAAADgAAABk&#10;cnMvZG93bnJldi54bWxQSwECFAAUAAAACACHTuJAr0BL9ygCAAAeBAAADgAAAAAAAAABACAAAAA+&#10;AQAAZHJzL2Uyb0RvYy54bWxQSwUGAAAAAAYABgBZAQAA2AUAAAAA&#10;">
                <v:fill on="f" focussize="0,0"/>
                <v:stroke weight="1pt" color="#000000 [3213]" miterlimit="8" joinstyle="miter" endarrow="open"/>
                <v:imagedata o:title=""/>
                <o:lock v:ext="edit" aspectratio="f"/>
              </v:shape>
            </w:pict>
          </mc:Fallback>
        </mc:AlternateContent>
      </w:r>
      <w:r>
        <w:rPr>
          <w:color w:val="auto"/>
          <w:sz w:val="32"/>
        </w:rPr>
        <mc:AlternateContent>
          <mc:Choice Requires="wps">
            <w:drawing>
              <wp:anchor distT="0" distB="0" distL="114300" distR="114300" simplePos="0" relativeHeight="251674624" behindDoc="0" locked="0" layoutInCell="1" allowOverlap="1">
                <wp:simplePos x="0" y="0"/>
                <wp:positionH relativeFrom="column">
                  <wp:posOffset>4030345</wp:posOffset>
                </wp:positionH>
                <wp:positionV relativeFrom="paragraph">
                  <wp:posOffset>36195</wp:posOffset>
                </wp:positionV>
                <wp:extent cx="2196465" cy="771525"/>
                <wp:effectExtent l="4445" t="4445" r="8890" b="5080"/>
                <wp:wrapNone/>
                <wp:docPr id="23" name="文本框 23"/>
                <wp:cNvGraphicFramePr/>
                <a:graphic xmlns:a="http://schemas.openxmlformats.org/drawingml/2006/main">
                  <a:graphicData uri="http://schemas.microsoft.com/office/word/2010/wordprocessingShape">
                    <wps:wsp>
                      <wps:cNvSpPr txBox="1"/>
                      <wps:spPr>
                        <a:xfrm>
                          <a:off x="0" y="0"/>
                          <a:ext cx="2196465" cy="77152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社会中介机构对答复是否有异议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35pt;margin-top:2.85pt;height:60.75pt;width:172.95pt;z-index:251674624;mso-width-relative:page;mso-height-relative:page;" fillcolor="#FFFFFF [3201]" filled="t" stroked="t" coordsize="21600,21600" o:gfxdata="UEsFBgAAAAAAAAAAAAAAAAAAAAAAAFBLAwQKAAAAAACHTuJAAAAAAAAAAAAAAAAABAAAAGRycy9Q&#10;SwMEFAAAAAgAh07iQIh+WNHWAAAACQEAAA8AAABkcnMvZG93bnJldi54bWxNj8FOwzAMhu9IvENk&#10;JG4sWQvdKE0ngYSEuLH1wi1rvLYicaomW8fbY07bybL+T78/V5uzd+KEUxwCaVguFAikNtiBOg3N&#10;7v1hDSImQ9a4QKjhFyNs6tubypQ2zPSFp23qBJdQLI2GPqWxlDK2PXoTF2FE4uwQJm8Sr1Mn7WRm&#10;LvdOZkoV0puB+EJvRnzrsf3ZHr2Gj+I1fWNjP22e5WFuZDsdXNT6/m6pXkAkPKcLDP/6rA41O+3D&#10;kWwUTkORP64Y1fDEg/PntSpA7BnMVhnIupLXH9R/UEsDBBQAAAAIAIdO4kB6NFwjWAIAALoEAAAO&#10;AAAAZHJzL2Uyb0RvYy54bWytVMFu2zAMvQ/YPwi6L07SJF2DOkXWIMOAYC3QDTsrshwLkERNUmJn&#10;H7D9wU677L7v6neMkp00bXfoYT7IFEk/ko+kL68archOOC/B5HTQ61MiDIdCmk1OP39avnlLiQ/M&#10;FEyBETndC0+vZq9fXdZ2KoZQgSqEIwhi/LS2Oa1CsNMs87wSmvkeWGHQWILTLODVbbLCsRrRtcqG&#10;/f4kq8EV1gEX3qN20Rpph+heAghlKblYAN9qYUKL6oRiAUvylbSezlK2ZSl4uClLLwJROcVKQzox&#10;CMrreGazSzbdOGYrybsU2EtSeFKTZtJg0CPUggVGtk4+g9KSO/BQhh4HnbWFJEawikH/CTd3FbMi&#10;1YJUe3sk3f8/WP5xd+uILHI6PKPEMI0dv//54/7Xn/vf3wnqkKDa+in63Vn0DM07aHBsDnqPylh3&#10;Uzod31gRQTvSuz/SK5pAOCqHg4vJaDKmhKPt/HwwHo4jTPbwtXU+vBegSRRy6rB9iVW2W/nQuh5c&#10;YjAPShZLqVS6uM36WjmyY9jqZXo69EduypA6p5OzcT8hP7L5U4h+ep5DYLrKYNaRlbb6KIVm3XRU&#10;raHYI1MO2mHzli8llrNiPtwyh9OF5OD+hRs8SgWYDXQSJRW4b//SR39sOlopqXFac+q/bpkTlKgP&#10;BsfhYjAaxfFOl9H4fIgXd2pZn1rMVl8DsjTATbc8idE/qINYOtBfcE3nMSqamOEYO6fhIF6Hdodw&#10;zbmYz5MTDrRlYWXuLI/QsScG5tsApUy9izS13HTs4Uin7nfrF3fm9J68Hn45s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WAAAAZHJzL1BL&#10;AQIUABQAAAAIAIdO4kCIfljR1gAAAAkBAAAPAAAAAAAAAAEAIAAAADgAAABkcnMvZG93bnJldi54&#10;bWxQSwECFAAUAAAACACHTuJAejRcI1gCAAC6BAAADgAAAAAAAAABACAAAAA7AQAAZHJzL2Uyb0Rv&#10;Yy54bWxQSwUGAAAAAAYABgBZAQAABQY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社会中介机构对答复是否有异议</w:t>
                      </w:r>
                    </w:p>
                  </w:txbxContent>
                </v:textbox>
              </v:shape>
            </w:pict>
          </mc:Fallback>
        </mc:AlternateContent>
      </w:r>
    </w:p>
    <w:p>
      <w:pPr>
        <w:jc w:val="right"/>
        <w:rPr>
          <w:rFonts w:hint="eastAsia" w:ascii="仿宋_GB2312" w:hAnsi="宋体" w:eastAsia="仿宋_GB2312" w:cs="宋体"/>
          <w:color w:val="auto"/>
          <w:kern w:val="0"/>
          <w:sz w:val="32"/>
          <w:szCs w:val="32"/>
          <w:lang w:val="en-US" w:eastAsia="zh-CN"/>
        </w:rPr>
      </w:pPr>
    </w:p>
    <w:p>
      <w:pPr>
        <w:jc w:val="right"/>
        <w:rPr>
          <w:rFonts w:hint="eastAsia" w:ascii="仿宋_GB2312" w:hAnsi="宋体" w:eastAsia="仿宋_GB2312" w:cs="宋体"/>
          <w:color w:val="auto"/>
          <w:kern w:val="0"/>
          <w:sz w:val="32"/>
          <w:szCs w:val="32"/>
          <w:lang w:val="en-US" w:eastAsia="zh-CN"/>
        </w:rPr>
      </w:pPr>
      <w:r>
        <w:rPr>
          <w:sz w:val="32"/>
        </w:rPr>
        <mc:AlternateContent>
          <mc:Choice Requires="wps">
            <w:drawing>
              <wp:anchor distT="0" distB="0" distL="114300" distR="114300" simplePos="0" relativeHeight="251684864" behindDoc="0" locked="0" layoutInCell="1" allowOverlap="1">
                <wp:simplePos x="0" y="0"/>
                <wp:positionH relativeFrom="column">
                  <wp:posOffset>5260340</wp:posOffset>
                </wp:positionH>
                <wp:positionV relativeFrom="paragraph">
                  <wp:posOffset>14605</wp:posOffset>
                </wp:positionV>
                <wp:extent cx="1905" cy="676275"/>
                <wp:effectExtent l="48895" t="0" r="63500" b="9525"/>
                <wp:wrapNone/>
                <wp:docPr id="37" name="直接箭头连接符 37"/>
                <wp:cNvGraphicFramePr/>
                <a:graphic xmlns:a="http://schemas.openxmlformats.org/drawingml/2006/main">
                  <a:graphicData uri="http://schemas.microsoft.com/office/word/2010/wordprocessingShape">
                    <wps:wsp>
                      <wps:cNvCnPr/>
                      <wps:spPr>
                        <a:xfrm>
                          <a:off x="6224270" y="7117715"/>
                          <a:ext cx="1905" cy="6762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14.2pt;margin-top:1.15pt;height:53.25pt;width:0.15pt;z-index:251684864;mso-width-relative:page;mso-height-relative:page;" filled="f" stroked="t" coordsize="21600,21600" o:gfxdata="UEsFBgAAAAAAAAAAAAAAAAAAAAAAAFBLAwQKAAAAAACHTuJAAAAAAAAAAAAAAAAABAAAAGRycy9Q&#10;SwMEFAAAAAgAh07iQCkcbYDVAAAACQEAAA8AAABkcnMvZG93bnJldi54bWxNj8FOwzAQRO9I/IO1&#10;SNyo04CKFeJUCIkLN9oK0ZtrL05IvI5ityl/z3Kix9E8zb6t1+cwiBNOqYukYbkoQCDZ6DryGnbb&#10;1zsFImVDzgyRUMMPJlg311e1qVyc6R1Pm+wFj1CqjIY257GSMtkWg0mLOCJx9xWnYDLHyUs3mZnH&#10;wyDLoljJYDriC60Z8aVF22+OQcN+9vRtnf2g5/lt7/vPPtF2p/XtzbJ4ApHxnP9h+NNndWjY6RCP&#10;5JIYNKhSPTCqobwHwT3nRxAHBgulQDa1vPyg+QVQSwMEFAAAAAgAh07iQFTb1akVAgAA7wMAAA4A&#10;AABkcnMvZTJvRG9jLnhtbK1TzXLTMBC+M8M7aHQnjg2NiydODwnlwkBmoA+gyLKtGf3NSo2Tl+AF&#10;mOEEnCin3nkaaB+DlRxSKJce8EFeabXf7vdpd36204psBXhpTU3zyZQSYbhtpOlqevHu/MkpJT4w&#10;0zBljajpXnh6tnj8aD64ShS2t6oRQBDE+GpwNe1DcFWWed4LzfzEOmHQ2VrQLOAWuqwBNiC6Vlkx&#10;nc6ywULjwHLhPZ6uRic9IMJDAG3bSi5Wll9qYcKICkKxgJR8L52ni1Rt2woe3rStF4GomiLTkFZM&#10;gvYmrtlizqoOmOslP5TAHlLCPU6aSYNJj1ArFhi5BPkPlJYcrLdtmHCrs5FIUgRZ5NN72rztmROJ&#10;C0rt3VF0//9g+evtGohsavq0pMQwjS9+8+H65/vPN9+ufny6vv3+MdpfvxD0o1iD8xXGLM0aDjvv&#10;1hCZ71rQ8Y+cyK6ms6J4VpQo876mZZ6XZX4yii12gXC8kD+fnlDC0T0rZ0WZvNkdjAMfXgqrSTRq&#10;6gMw2fVhaY3BR7WQJ7nZ9pUPWAgG/g6INRh7LpVKb6sMGTAZloK1cIYN22KjoKkdkvamo4SpDieB&#10;B0iQ3irZxPAI5KHbLBWQLYv9k77IAtP9dS3mXjHfj/eSaySrZcBhUVLX9PQYzarApHphGhL2DvVm&#10;AHY4wCqD6FHkUdZobWyzT2qnc+yDlP/Qs7HR/tyn6Ls5X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KRxtgNUAAAAJAQAADwAAAAAAAAABACAAAAA4AAAAZHJzL2Rvd25yZXYueG1sUEsBAhQAFAAA&#10;AAgAh07iQFTb1akVAgAA7wMAAA4AAAAAAAAAAQAgAAAAOgEAAGRycy9lMm9Eb2MueG1sUEsFBgAA&#10;AAAGAAYAWQEAAMEFAAAAAA==&#10;">
                <v:fill on="f" focussize="0,0"/>
                <v:stroke weight="1pt" color="#000000 [3213]"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5245735</wp:posOffset>
                </wp:positionH>
                <wp:positionV relativeFrom="paragraph">
                  <wp:posOffset>257175</wp:posOffset>
                </wp:positionV>
                <wp:extent cx="356235" cy="275590"/>
                <wp:effectExtent l="0" t="0" r="5715" b="10160"/>
                <wp:wrapNone/>
                <wp:docPr id="36" name="文本框 36"/>
                <wp:cNvGraphicFramePr/>
                <a:graphic xmlns:a="http://schemas.openxmlformats.org/drawingml/2006/main">
                  <a:graphicData uri="http://schemas.microsoft.com/office/word/2010/wordprocessingShape">
                    <wps:wsp>
                      <wps:cNvSpPr txBox="1"/>
                      <wps:spPr>
                        <a:xfrm>
                          <a:off x="6339840" y="7019925"/>
                          <a:ext cx="356235" cy="2755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sz w:val="24"/>
                                <w:szCs w:val="32"/>
                                <w:lang w:val="en-US" w:eastAsia="zh-CN"/>
                              </w:rPr>
                            </w:pPr>
                            <w:r>
                              <w:rPr>
                                <w:rFonts w:hint="eastAsia"/>
                                <w:sz w:val="24"/>
                                <w:szCs w:val="32"/>
                                <w:lang w:val="en-US"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3.05pt;margin-top:20.25pt;height:21.7pt;width:28.05pt;z-index:251683840;mso-width-relative:page;mso-height-relative:page;" fillcolor="#FFFFFF [3201]" filled="t" stroked="f" coordsize="21600,21600" o:gfxdata="UEsFBgAAAAAAAAAAAAAAAAAAAAAAAFBLAwQKAAAAAACHTuJAAAAAAAAAAAAAAAAABAAAAGRycy9Q&#10;SwMEFAAAAAgAh07iQFgWjaDVAAAACQEAAA8AAABkcnMvZG93bnJldi54bWxNj01PwzAMhu9I/IfI&#10;SNxY0jKm0jXdAYkrEtvYOWu8piJxqib7/PWYE9xs+dHr521Wl+DFCac0RNJQzBQIpC7agXoN2837&#10;UwUiZUPW+Eio4YoJVu39XWNqG8/0iad17gWHUKqNBpfzWEuZOofBpFkckfh2iFMwmdepl3YyZw4P&#10;XpZKLWQwA/EHZ0Z8c9h9r49Bw64Pt91XMU7OBj+nj9t1s42D1o8PhVqCyHjJfzD86rM6tOy0j0ey&#10;SXgNVbkoGNUwVy8gGKiqsgSx5+H5FWTbyP8N2h9QSwMEFAAAAAgAh07iQEvHNzVfAgAAnAQAAA4A&#10;AABkcnMvZTJvRG9jLnhtbK1UzW7bMAy+D9g7CLovzk+dNEGdImuRYUCwFuiGnRVZjgVIoiYpsbMH&#10;2N6gp11233PlOUbJSdt1O/SwHBxK/Ezy+0j64rLViuyE8xJMQQe9PiXCcCil2RT008flm3NKfGCm&#10;ZAqMKOheeHo5f/3qorEzMYQaVCkcwSDGzxpb0DoEO8syz2uhme+BFQadFTjNAh7dJisdazC6Vtmw&#10;3x9nDbjSOuDCe7y97pz0GNG9JCBUleTiGvhWCxO6qE4oFpCSr6X1dJ6qrSrBw01VeRGIKigyDemJ&#10;SdBex2c2v2CzjWO2lvxYAntJCc84aSYNJn0Idc0CI1sn/wqlJXfgoQo9DjrriCRFkMWg/0ybu5pZ&#10;kbig1N4+iO7/X1j+YXfriCwLOhpTYpjGjh/uvx9+/Dr8/EbwDgVqrJ8h7s4iMrRvocWxOd17vIy8&#10;28rp+I+MCPrHo9H0/AxF3hd00h9Mp8O8k1q0gXAEjPLxcJRTwhEwnOT5NLUiewxknQ/vBGgSjYI6&#10;7GQSmO1WPmBRCD1BYl4PSpZLqVQ6uM36SjmyY9j1ZfrF7PjKHzBlSBNLzfspsoH4fodTBuGRd8cv&#10;WqFdt0cx1lDuUQsH3Th5y5cSq1wxH26Zw/lB4rhh4QYflQJMAkeLkhrc13/dRzy2Fb2UNDiPBfVf&#10;tswJStR7gw2fDs6iniEdzvLJEA/uqWf91GO2+gqQ/AB32fJkRnxQJ7NyoD/jIi5iVnQxwzF3QcPJ&#10;vArdluAic7FYJBCOrGVhZe4sj6Gj1AYW2wCVTC2JMnXaHNXDoU2yHxcsbsXTc0I9flTm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WAAAA&#10;ZHJzL1BLAQIUABQAAAAIAIdO4kBYFo2g1QAAAAkBAAAPAAAAAAAAAAEAIAAAADgAAABkcnMvZG93&#10;bnJldi54bWxQSwECFAAUAAAACACHTuJAS8c3NV8CAACcBAAADgAAAAAAAAABACAAAAA6AQAAZHJz&#10;L2Uyb0RvYy54bWxQSwUGAAAAAAYABgBZAQAACwYAAAAA&#10;">
                <v:fill on="t" focussize="0,0"/>
                <v:stroke on="f" weight="0.5pt"/>
                <v:imagedata o:title=""/>
                <o:lock v:ext="edit" aspectratio="f"/>
                <v:textbox>
                  <w:txbxContent>
                    <w:p>
                      <w:pPr>
                        <w:rPr>
                          <w:rFonts w:hint="eastAsia" w:eastAsiaTheme="minorEastAsia"/>
                          <w:sz w:val="24"/>
                          <w:szCs w:val="32"/>
                          <w:lang w:val="en-US" w:eastAsia="zh-CN"/>
                        </w:rPr>
                      </w:pPr>
                      <w:r>
                        <w:rPr>
                          <w:rFonts w:hint="eastAsia"/>
                          <w:sz w:val="24"/>
                          <w:szCs w:val="32"/>
                          <w:lang w:val="en-US" w:eastAsia="zh-CN"/>
                        </w:rPr>
                        <w:t>否</w:t>
                      </w:r>
                    </w:p>
                  </w:txbxContent>
                </v:textbox>
              </v:shape>
            </w:pict>
          </mc:Fallback>
        </mc:AlternateContent>
      </w:r>
    </w:p>
    <w:p>
      <w:pPr>
        <w:jc w:val="both"/>
        <w:rPr>
          <w:rFonts w:hint="eastAsia" w:ascii="仿宋_GB2312" w:hAnsi="宋体" w:eastAsia="仿宋_GB2312" w:cs="宋体"/>
          <w:color w:val="auto"/>
          <w:kern w:val="0"/>
          <w:sz w:val="32"/>
          <w:szCs w:val="32"/>
          <w:lang w:val="en-US" w:eastAsia="zh-CN"/>
        </w:rPr>
      </w:pPr>
      <w:r>
        <w:rPr>
          <w:color w:val="auto"/>
          <w:sz w:val="32"/>
        </w:rPr>
        <mc:AlternateContent>
          <mc:Choice Requires="wps">
            <w:drawing>
              <wp:anchor distT="0" distB="0" distL="114300" distR="114300" simplePos="0" relativeHeight="251682816" behindDoc="0" locked="0" layoutInCell="1" allowOverlap="1">
                <wp:simplePos x="0" y="0"/>
                <wp:positionH relativeFrom="column">
                  <wp:posOffset>1905</wp:posOffset>
                </wp:positionH>
                <wp:positionV relativeFrom="paragraph">
                  <wp:posOffset>311150</wp:posOffset>
                </wp:positionV>
                <wp:extent cx="5707380" cy="809625"/>
                <wp:effectExtent l="4445" t="4445" r="22225" b="5080"/>
                <wp:wrapNone/>
                <wp:docPr id="34" name="文本框 34"/>
                <wp:cNvGraphicFramePr/>
                <a:graphic xmlns:a="http://schemas.openxmlformats.org/drawingml/2006/main">
                  <a:graphicData uri="http://schemas.microsoft.com/office/word/2010/wordprocessingShape">
                    <wps:wsp>
                      <wps:cNvSpPr txBox="1"/>
                      <wps:spPr>
                        <a:xfrm>
                          <a:off x="0" y="0"/>
                          <a:ext cx="5707380" cy="80962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市中心监督科每季度末通过交易中心网站对不良行为进行披露。每半年将执业行为良好的社会中介机构情况，</w:t>
                            </w:r>
                            <w:r>
                              <w:rPr>
                                <w:rFonts w:hint="default" w:ascii="仿宋_GB2312" w:hAnsi="仿宋_GB2312" w:eastAsia="仿宋_GB2312" w:cs="仿宋_GB2312"/>
                                <w:color w:val="auto"/>
                                <w:sz w:val="28"/>
                                <w:szCs w:val="28"/>
                                <w:lang w:val="en-US" w:eastAsia="zh-CN"/>
                              </w:rPr>
                              <w:t>告知</w:t>
                            </w:r>
                            <w:r>
                              <w:rPr>
                                <w:rFonts w:hint="eastAsia" w:ascii="仿宋_GB2312" w:hAnsi="仿宋_GB2312" w:eastAsia="仿宋_GB2312" w:cs="仿宋_GB2312"/>
                                <w:color w:val="auto"/>
                                <w:sz w:val="28"/>
                                <w:szCs w:val="28"/>
                                <w:lang w:val="en-US" w:eastAsia="zh-CN"/>
                              </w:rPr>
                              <w:t>我市招标采购单位。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5pt;margin-top:24.5pt;height:63.75pt;width:449.4pt;z-index:251682816;mso-width-relative:page;mso-height-relative:page;" fillcolor="#FFFFFF [3201]" filled="t" stroked="t" coordsize="21600,21600" o:gfxdata="UEsFBgAAAAAAAAAAAAAAAAAAAAAAAFBLAwQKAAAAAACHTuJAAAAAAAAAAAAAAAAABAAAAGRycy9Q&#10;SwMEFAAAAAgAh07iQM4vVR7UAAAABwEAAA8AAABkcnMvZG93bnJldi54bWxNj8FOwzAQRO9I/IO1&#10;SNyokwZCE+JUAgkJcaPNhZsbb5MIex3ZblP+nuUEx9U8zbxtthdnxRlDnDwpyFcZCKTem4kGBd3+&#10;9W4DIiZNRltPqOAbI2zb66tG18Yv9IHnXRoEl1CstYIxpbmWMvYjOh1Xfkbi7OiD04nPMEgT9MLl&#10;zsp1lpXS6Yl4YdQzvozYf+1OTsFb+Zw+sTPvplgXfulkH442KnV7k2dPIBJe0h8Mv/qsDi07HfyJ&#10;TBRWQcGcgvuKH+J0U1U5iANjj+UDyLaR//3bH1BLAwQUAAAACACHTuJAr0vbAlgCAAC6BAAADgAA&#10;AGRycy9lMm9Eb2MueG1srVTNbtswDL4P2DsIuq92/to0qFNkKTIMKNYC3bCzIsuxAEnUJCV29wDb&#10;G/S0y+57rj7HKNlp03aHHuaDTJH0R/Ij6bPzViuyE85LMAUdHOWUCMOhlGZT0C+fV++mlPjATMkU&#10;GFHQW+Hp+fztm7PGzsQQalClcARBjJ81tqB1CHaWZZ7XQjN/BFYYNFbgNAt4dZusdKxBdK2yYZ4f&#10;Zw240jrgwnvUXnRG2iO61wBCVUkuLoBvtTChQ3VCsYAl+VpaT+cp26oSPFxVlReBqIJipSGdGATl&#10;dTyz+RmbbRyzteR9Cuw1KTyrSTNpMOgD1AULjGydfAGlJXfgoQpHHHTWFZIYwSoG+TNubmpmRaoF&#10;qfb2gXT//2D5p921I7Is6GhMiWEaO35/9/P+15/73z8I6pCgxvoZ+t1Y9Azte2hxbPZ6j8pYd1s5&#10;Hd9YEUE70nv7QK9oA+GonJzkJ6Mpmjjapvnp8XASYbLHr63z4YMATaJQUIftS6yy3aUPneveJQbz&#10;oGS5kkqli9usl8qRHcNWr9LToz9xU4Y0BT0eTfKE/MTmDyHy9LyEwHSVwawjK131UQrtuu2pWkN5&#10;i0w56IbNW76SWM4l8+GaOZwuZAD3L1zhUSnAbKCXKKnBff+XPvpj09FKSYPTWlD/bcucoER9NDgO&#10;p4PxGGFDuownJ0O8uEPL+tBitnoJyNIAN93yJEb/oPZi5UB/xTVdxKhoYoZj7IKGvbgM3Q7hmnOx&#10;WCQnHGjLwqW5sTxCx54YWGwDVDL1LtLUcdOzhyOdut+vX9yZw3vyevzlzP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FgAAAGRycy9QSwEC&#10;FAAUAAAACACHTuJAzi9VHtQAAAAHAQAADwAAAAAAAAABACAAAAA4AAAAZHJzL2Rvd25yZXYueG1s&#10;UEsBAhQAFAAAAAgAh07iQK9L2wJYAgAAugQAAA4AAAAAAAAAAQAgAAAAOQEAAGRycy9lMm9Eb2Mu&#10;eG1sUEsFBgAAAAAGAAYAWQEAAAMGAAAAAA==&#10;">
                <v:fill on="t" focussize="0,0"/>
                <v:stroke weight="0.5pt" color="#000000 [3213]" joinstyle="round"/>
                <v:imagedata o:title=""/>
                <o:lock v:ext="edit" aspectratio="f"/>
                <v:textbox>
                  <w:txbxContent>
                    <w:p>
                      <w:pPr>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市中心监督科每季度末通过交易中心网站对不良行为进行披露。每半年将执业行为良好的社会中介机构情况，</w:t>
                      </w:r>
                      <w:r>
                        <w:rPr>
                          <w:rFonts w:hint="default" w:ascii="仿宋_GB2312" w:hAnsi="仿宋_GB2312" w:eastAsia="仿宋_GB2312" w:cs="仿宋_GB2312"/>
                          <w:color w:val="auto"/>
                          <w:sz w:val="28"/>
                          <w:szCs w:val="28"/>
                          <w:lang w:val="en-US" w:eastAsia="zh-CN"/>
                        </w:rPr>
                        <w:t>告知</w:t>
                      </w:r>
                      <w:r>
                        <w:rPr>
                          <w:rFonts w:hint="eastAsia" w:ascii="仿宋_GB2312" w:hAnsi="仿宋_GB2312" w:eastAsia="仿宋_GB2312" w:cs="仿宋_GB2312"/>
                          <w:color w:val="auto"/>
                          <w:sz w:val="28"/>
                          <w:szCs w:val="28"/>
                          <w:lang w:val="en-US" w:eastAsia="zh-CN"/>
                        </w:rPr>
                        <w:t>我市招标采购单位。</w:t>
                      </w:r>
                    </w:p>
                  </w:txbxContent>
                </v:textbox>
              </v:shape>
            </w:pict>
          </mc:Fallback>
        </mc:AlternateContent>
      </w:r>
    </w:p>
    <w:p>
      <w:pPr>
        <w:jc w:val="both"/>
        <w:rPr>
          <w:rFonts w:hint="eastAsia" w:ascii="仿宋_GB2312" w:hAnsi="宋体" w:eastAsia="仿宋_GB2312" w:cs="宋体"/>
          <w:color w:val="auto"/>
          <w:kern w:val="0"/>
          <w:sz w:val="32"/>
          <w:szCs w:val="32"/>
          <w:lang w:val="en-US" w:eastAsia="zh-CN"/>
        </w:rPr>
      </w:pPr>
    </w:p>
    <w:tbl>
      <w:tblPr>
        <w:tblStyle w:val="6"/>
        <w:tblpPr w:leftFromText="180" w:rightFromText="180" w:vertAnchor="text" w:horzAnchor="page" w:tblpX="1703" w:tblpY="743"/>
        <w:tblOverlap w:val="never"/>
        <w:tblW w:w="874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Layout w:type="fixed"/>
        <w:tblCellMar>
          <w:top w:w="0" w:type="dxa"/>
          <w:left w:w="108" w:type="dxa"/>
          <w:bottom w:w="0" w:type="dxa"/>
          <w:right w:w="108" w:type="dxa"/>
        </w:tblCellMar>
      </w:tblPr>
      <w:tblGrid>
        <w:gridCol w:w="8748"/>
      </w:tblGrid>
      <w:tr>
        <w:tblPrEx>
          <w:tblBorders>
            <w:top w:val="single" w:color="auto" w:sz="12" w:space="0"/>
            <w:left w:val="none" w:color="auto" w:sz="0" w:space="0"/>
            <w:bottom w:val="single" w:color="auto" w:sz="12" w:space="0"/>
            <w:right w:val="none" w:color="auto" w:sz="0" w:space="0"/>
            <w:insideH w:val="single" w:color="auto" w:sz="6" w:space="0"/>
            <w:insideV w:val="single" w:color="auto" w:sz="8" w:space="0"/>
          </w:tblBorders>
          <w:tblCellMar>
            <w:top w:w="0" w:type="dxa"/>
            <w:left w:w="108" w:type="dxa"/>
            <w:bottom w:w="0" w:type="dxa"/>
            <w:right w:w="108" w:type="dxa"/>
          </w:tblCellMar>
        </w:tblPrEx>
        <w:trPr>
          <w:trHeight w:val="340" w:hRule="atLeast"/>
          <w:jc w:val="center"/>
        </w:trPr>
        <w:tc>
          <w:tcPr>
            <w:tcW w:w="8748" w:type="dxa"/>
            <w:noWrap w:val="0"/>
            <w:vAlign w:val="center"/>
          </w:tcPr>
          <w:p>
            <w:pPr>
              <w:pStyle w:val="12"/>
              <w:spacing w:line="540" w:lineRule="exact"/>
              <w:jc w:val="left"/>
              <w:rPr>
                <w:rFonts w:hint="eastAsia" w:ascii="仿宋_GB2312" w:eastAsia="仿宋_GB2312"/>
                <w:b w:val="0"/>
                <w:bCs w:val="0"/>
                <w:sz w:val="28"/>
                <w:szCs w:val="28"/>
              </w:rPr>
            </w:pPr>
            <w:r>
              <w:rPr>
                <w:rFonts w:hint="eastAsia" w:ascii="仿宋_GB2312"/>
                <w:b w:val="0"/>
                <w:bCs w:val="0"/>
                <w:sz w:val="28"/>
                <w:szCs w:val="28"/>
              </w:rPr>
              <w:t xml:space="preserve">  </w:t>
            </w:r>
            <w:r>
              <w:rPr>
                <w:rFonts w:hint="eastAsia" w:ascii="仿宋_GB2312" w:eastAsia="仿宋_GB2312"/>
                <w:b w:val="0"/>
                <w:bCs w:val="0"/>
                <w:sz w:val="28"/>
                <w:szCs w:val="28"/>
              </w:rPr>
              <w:t>淄博市公共资源交易中心</w:t>
            </w:r>
            <w:r>
              <w:rPr>
                <w:rFonts w:hint="eastAsia" w:ascii="仿宋_GB2312" w:eastAsia="仿宋_GB2312"/>
                <w:b w:val="0"/>
                <w:bCs w:val="0"/>
                <w:sz w:val="28"/>
                <w:szCs w:val="28"/>
                <w:lang w:val="en-US" w:eastAsia="zh-CN"/>
              </w:rPr>
              <w:t xml:space="preserve">      </w:t>
            </w:r>
            <w:r>
              <w:rPr>
                <w:rFonts w:hint="eastAsia" w:ascii="仿宋_GB2312" w:eastAsia="仿宋_GB2312"/>
                <w:b w:val="0"/>
                <w:bCs w:val="0"/>
                <w:sz w:val="28"/>
                <w:szCs w:val="28"/>
              </w:rPr>
              <w:t xml:space="preserve">          </w:t>
            </w:r>
            <w:r>
              <w:rPr>
                <w:rFonts w:hint="eastAsia" w:ascii="仿宋_GB2312" w:eastAsia="仿宋_GB2312"/>
                <w:b w:val="0"/>
                <w:bCs w:val="0"/>
                <w:sz w:val="28"/>
                <w:szCs w:val="28"/>
                <w:lang w:val="en-US" w:eastAsia="zh-CN"/>
              </w:rPr>
              <w:t xml:space="preserve"> </w:t>
            </w:r>
            <w:r>
              <w:rPr>
                <w:rFonts w:hint="eastAsia" w:ascii="仿宋_GB2312" w:eastAsia="仿宋_GB2312"/>
                <w:b w:val="0"/>
                <w:bCs w:val="0"/>
                <w:sz w:val="28"/>
                <w:szCs w:val="28"/>
              </w:rPr>
              <w:t>202</w:t>
            </w:r>
            <w:r>
              <w:rPr>
                <w:rFonts w:hint="eastAsia" w:ascii="仿宋_GB2312" w:eastAsia="仿宋_GB2312"/>
                <w:b w:val="0"/>
                <w:bCs w:val="0"/>
                <w:sz w:val="28"/>
                <w:szCs w:val="28"/>
                <w:lang w:val="en-US" w:eastAsia="zh-CN"/>
              </w:rPr>
              <w:t>5</w:t>
            </w:r>
            <w:r>
              <w:rPr>
                <w:rFonts w:hint="eastAsia" w:ascii="仿宋_GB2312" w:eastAsia="仿宋_GB2312"/>
                <w:b w:val="0"/>
                <w:bCs w:val="0"/>
                <w:sz w:val="28"/>
                <w:szCs w:val="28"/>
              </w:rPr>
              <w:t>年</w:t>
            </w:r>
            <w:r>
              <w:rPr>
                <w:rFonts w:hint="eastAsia" w:ascii="仿宋_GB2312" w:eastAsia="仿宋_GB2312"/>
                <w:b w:val="0"/>
                <w:bCs w:val="0"/>
                <w:sz w:val="28"/>
                <w:szCs w:val="28"/>
                <w:lang w:val="en-US" w:eastAsia="zh-CN"/>
              </w:rPr>
              <w:t>1</w:t>
            </w:r>
            <w:r>
              <w:rPr>
                <w:rFonts w:hint="eastAsia" w:ascii="仿宋_GB2312" w:eastAsia="仿宋_GB2312"/>
                <w:b w:val="0"/>
                <w:bCs w:val="0"/>
                <w:sz w:val="28"/>
                <w:szCs w:val="28"/>
              </w:rPr>
              <w:t>月</w:t>
            </w:r>
            <w:r>
              <w:rPr>
                <w:rFonts w:hint="eastAsia" w:ascii="仿宋_GB2312" w:eastAsia="仿宋_GB2312"/>
                <w:b w:val="0"/>
                <w:bCs w:val="0"/>
                <w:sz w:val="28"/>
                <w:szCs w:val="28"/>
                <w:lang w:val="en-US" w:eastAsia="zh-CN"/>
              </w:rPr>
              <w:t>27</w:t>
            </w:r>
            <w:r>
              <w:rPr>
                <w:rFonts w:hint="eastAsia" w:ascii="仿宋_GB2312" w:eastAsia="仿宋_GB2312"/>
                <w:b w:val="0"/>
                <w:bCs w:val="0"/>
                <w:sz w:val="28"/>
                <w:szCs w:val="28"/>
              </w:rPr>
              <w:t xml:space="preserve">日印发  </w:t>
            </w:r>
          </w:p>
        </w:tc>
      </w:tr>
    </w:tbl>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m9xvMw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IqdXqLthGhU///h+/vn7/OsbwRkEql2YI+7BITI272yDthnOAw4T76b0On3BiMAP&#10;eU8XeUUTCU+XZtPZbAwXh2/YAD97uu58iO+F1SQZOfWoXysrO25D7EKHkJTN2I1Uqq2hMqTO6fXV&#10;23F74eIBuDLIkUh0j01WbHZNz2xnixOIedv1RnB8I5F8y0K8Zx7NgAdjXOIdllJZJLG9RUll/dd/&#10;nad41AheSmo0V04NZokS9cGgdgCMg+EHYzcY5qBvLbp1gjF0vDVxwUc1mKW3+gtmaJVywMUMR6ac&#10;xsG8jV2DYwa5WK3aoIPzcl91F9B5jsWteXA8pUlCBrc6RIjZapwE6lTpdUPvtVXq5yQ195/7Nurp&#10;37B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LNJWO7QAAAABQEAAA8AAAAAAAAAAQAgAAAAOAAA&#10;AGRycy9kb3ducmV2LnhtbFBLAQIUABQAAAAIAIdO4kDUm9xvMwIAAGMEAAAOAAAAAAAAAAEAIAAA&#10;ADUBAABkcnMvZTJvRG9jLnhtbFBLBQYAAAAABgAGAFkBAADa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lang w:val="en-US"/>
      </w:rPr>
    </w:lvl>
    <w:lvl w:ilvl="3" w:tentative="0">
      <w:start w:val="1"/>
      <w:numFmt w:val="decimal"/>
      <w:lvlText w:val="%1.%2.%3.%4"/>
      <w:lvlJc w:val="left"/>
      <w:pPr>
        <w:ind w:left="850" w:hanging="708"/>
      </w:pPr>
      <w:rPr>
        <w:rFonts w:hint="eastAsia"/>
      </w:rPr>
    </w:lvl>
    <w:lvl w:ilvl="4" w:tentative="0">
      <w:start w:val="1"/>
      <w:numFmt w:val="decimal"/>
      <w:pStyle w:val="14"/>
      <w:lvlText w:val="%1.%2.%3.%4.%5"/>
      <w:lvlJc w:val="left"/>
      <w:pPr>
        <w:ind w:left="2551" w:hanging="850"/>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xNmMxNTMzZjIxZTBiMDRhMmRlNmMzYmJmNjIxYWMifQ=="/>
  </w:docVars>
  <w:rsids>
    <w:rsidRoot w:val="32FC1017"/>
    <w:rsid w:val="0107529F"/>
    <w:rsid w:val="010F320A"/>
    <w:rsid w:val="0186110A"/>
    <w:rsid w:val="019C4A02"/>
    <w:rsid w:val="023359E7"/>
    <w:rsid w:val="033943A1"/>
    <w:rsid w:val="03B01BA0"/>
    <w:rsid w:val="04A25365"/>
    <w:rsid w:val="04A579EC"/>
    <w:rsid w:val="04AD1A3A"/>
    <w:rsid w:val="04C90AC6"/>
    <w:rsid w:val="061A570F"/>
    <w:rsid w:val="06600C10"/>
    <w:rsid w:val="07290295"/>
    <w:rsid w:val="078D1C25"/>
    <w:rsid w:val="0851190E"/>
    <w:rsid w:val="08754BC4"/>
    <w:rsid w:val="092C1DDD"/>
    <w:rsid w:val="09690E9D"/>
    <w:rsid w:val="0A886674"/>
    <w:rsid w:val="0B705B32"/>
    <w:rsid w:val="0BE9094D"/>
    <w:rsid w:val="0CAF61E6"/>
    <w:rsid w:val="0CF252E5"/>
    <w:rsid w:val="0CFB6B9B"/>
    <w:rsid w:val="0D6C0F9A"/>
    <w:rsid w:val="0DF84681"/>
    <w:rsid w:val="0E167A9B"/>
    <w:rsid w:val="0E463DE6"/>
    <w:rsid w:val="0E4D5FEA"/>
    <w:rsid w:val="0F1B0CDC"/>
    <w:rsid w:val="0F291509"/>
    <w:rsid w:val="0F803BA7"/>
    <w:rsid w:val="100A20E4"/>
    <w:rsid w:val="10CC543F"/>
    <w:rsid w:val="112942FB"/>
    <w:rsid w:val="11357601"/>
    <w:rsid w:val="11561DC2"/>
    <w:rsid w:val="12303B1E"/>
    <w:rsid w:val="124F3DEC"/>
    <w:rsid w:val="126F4B04"/>
    <w:rsid w:val="12912408"/>
    <w:rsid w:val="129E3CED"/>
    <w:rsid w:val="135C553C"/>
    <w:rsid w:val="138B5CB7"/>
    <w:rsid w:val="14583B84"/>
    <w:rsid w:val="159B020D"/>
    <w:rsid w:val="15BC7222"/>
    <w:rsid w:val="15FE2BB5"/>
    <w:rsid w:val="16A264D3"/>
    <w:rsid w:val="16F55122"/>
    <w:rsid w:val="176747E9"/>
    <w:rsid w:val="18700F1F"/>
    <w:rsid w:val="19B31513"/>
    <w:rsid w:val="1A5A7A0D"/>
    <w:rsid w:val="1A6D2A84"/>
    <w:rsid w:val="1AFF1773"/>
    <w:rsid w:val="1B4171DF"/>
    <w:rsid w:val="1B711FFF"/>
    <w:rsid w:val="1BCD118C"/>
    <w:rsid w:val="1CA57B04"/>
    <w:rsid w:val="1CC63DBE"/>
    <w:rsid w:val="1D2C368A"/>
    <w:rsid w:val="1D370DB9"/>
    <w:rsid w:val="1D5B274F"/>
    <w:rsid w:val="1D933A6E"/>
    <w:rsid w:val="1EA21867"/>
    <w:rsid w:val="1F922741"/>
    <w:rsid w:val="200B5D5E"/>
    <w:rsid w:val="20364080"/>
    <w:rsid w:val="21736DF8"/>
    <w:rsid w:val="22054661"/>
    <w:rsid w:val="221110F4"/>
    <w:rsid w:val="22AF2E11"/>
    <w:rsid w:val="23F254FA"/>
    <w:rsid w:val="241460C1"/>
    <w:rsid w:val="24320BDE"/>
    <w:rsid w:val="247823B3"/>
    <w:rsid w:val="24F246F0"/>
    <w:rsid w:val="24F5112A"/>
    <w:rsid w:val="25030C9F"/>
    <w:rsid w:val="251D66DA"/>
    <w:rsid w:val="26AB5F6F"/>
    <w:rsid w:val="26B832CD"/>
    <w:rsid w:val="26D20702"/>
    <w:rsid w:val="273C3642"/>
    <w:rsid w:val="28421D5C"/>
    <w:rsid w:val="28F728E5"/>
    <w:rsid w:val="2905163D"/>
    <w:rsid w:val="29143C5C"/>
    <w:rsid w:val="2B0B3770"/>
    <w:rsid w:val="2C7060A3"/>
    <w:rsid w:val="2C9D3242"/>
    <w:rsid w:val="2CD62D9D"/>
    <w:rsid w:val="2DB04E2C"/>
    <w:rsid w:val="2DE57FB3"/>
    <w:rsid w:val="2E110139"/>
    <w:rsid w:val="30DB348D"/>
    <w:rsid w:val="31BA28D7"/>
    <w:rsid w:val="32112ADB"/>
    <w:rsid w:val="323105BA"/>
    <w:rsid w:val="324A05DB"/>
    <w:rsid w:val="324A19E5"/>
    <w:rsid w:val="32C97400"/>
    <w:rsid w:val="32E5657B"/>
    <w:rsid w:val="32FC1017"/>
    <w:rsid w:val="34D74714"/>
    <w:rsid w:val="35101A37"/>
    <w:rsid w:val="35F0401A"/>
    <w:rsid w:val="368C084D"/>
    <w:rsid w:val="36B5678E"/>
    <w:rsid w:val="36CD3AE5"/>
    <w:rsid w:val="36FC4446"/>
    <w:rsid w:val="374B7CA3"/>
    <w:rsid w:val="37786B03"/>
    <w:rsid w:val="382459C0"/>
    <w:rsid w:val="38E86372"/>
    <w:rsid w:val="38E91BBF"/>
    <w:rsid w:val="39270A79"/>
    <w:rsid w:val="395A170D"/>
    <w:rsid w:val="398B4D6E"/>
    <w:rsid w:val="39B31BE1"/>
    <w:rsid w:val="39C5120B"/>
    <w:rsid w:val="3A1F765C"/>
    <w:rsid w:val="3A664575"/>
    <w:rsid w:val="3C8D43FA"/>
    <w:rsid w:val="3D5E7BA5"/>
    <w:rsid w:val="3D6B576A"/>
    <w:rsid w:val="3D90639C"/>
    <w:rsid w:val="3D9356A2"/>
    <w:rsid w:val="3E8135D7"/>
    <w:rsid w:val="3E94435C"/>
    <w:rsid w:val="3F3A596D"/>
    <w:rsid w:val="3F744A1E"/>
    <w:rsid w:val="3F79349C"/>
    <w:rsid w:val="404A4738"/>
    <w:rsid w:val="408E16F4"/>
    <w:rsid w:val="40FA51D0"/>
    <w:rsid w:val="410527F1"/>
    <w:rsid w:val="420C2439"/>
    <w:rsid w:val="42395702"/>
    <w:rsid w:val="42A720F9"/>
    <w:rsid w:val="42F02450"/>
    <w:rsid w:val="43534D63"/>
    <w:rsid w:val="438318D1"/>
    <w:rsid w:val="44A5442C"/>
    <w:rsid w:val="45195606"/>
    <w:rsid w:val="45656949"/>
    <w:rsid w:val="456A5A0A"/>
    <w:rsid w:val="45A53953"/>
    <w:rsid w:val="45F80AEC"/>
    <w:rsid w:val="472A40DD"/>
    <w:rsid w:val="4A7402D4"/>
    <w:rsid w:val="4A7E52E5"/>
    <w:rsid w:val="4AC64A36"/>
    <w:rsid w:val="4B5F6F5C"/>
    <w:rsid w:val="4C245C59"/>
    <w:rsid w:val="4C960508"/>
    <w:rsid w:val="4C984419"/>
    <w:rsid w:val="4CB503E2"/>
    <w:rsid w:val="4CE759E7"/>
    <w:rsid w:val="4D624519"/>
    <w:rsid w:val="4D8C0EB5"/>
    <w:rsid w:val="4E776020"/>
    <w:rsid w:val="4EC31898"/>
    <w:rsid w:val="4ECE3EEB"/>
    <w:rsid w:val="4FE00665"/>
    <w:rsid w:val="50390A51"/>
    <w:rsid w:val="51085F65"/>
    <w:rsid w:val="51557BDD"/>
    <w:rsid w:val="51574236"/>
    <w:rsid w:val="516E13E1"/>
    <w:rsid w:val="519D6434"/>
    <w:rsid w:val="51C328A8"/>
    <w:rsid w:val="520640DA"/>
    <w:rsid w:val="5276533B"/>
    <w:rsid w:val="52A64B0D"/>
    <w:rsid w:val="52AE30AC"/>
    <w:rsid w:val="533F5209"/>
    <w:rsid w:val="5341067C"/>
    <w:rsid w:val="53D76B51"/>
    <w:rsid w:val="54007C71"/>
    <w:rsid w:val="54D73E16"/>
    <w:rsid w:val="55D56FB8"/>
    <w:rsid w:val="56842501"/>
    <w:rsid w:val="576F235C"/>
    <w:rsid w:val="5792035B"/>
    <w:rsid w:val="580E565F"/>
    <w:rsid w:val="588649D4"/>
    <w:rsid w:val="588D6250"/>
    <w:rsid w:val="58AE5A7A"/>
    <w:rsid w:val="591C48A0"/>
    <w:rsid w:val="596A0441"/>
    <w:rsid w:val="5A086D28"/>
    <w:rsid w:val="5A1D4C15"/>
    <w:rsid w:val="5A1E7AEC"/>
    <w:rsid w:val="5A7A7F7F"/>
    <w:rsid w:val="5B1D579D"/>
    <w:rsid w:val="5B581BB8"/>
    <w:rsid w:val="5C2D56D0"/>
    <w:rsid w:val="5CC641D9"/>
    <w:rsid w:val="5CFB4532"/>
    <w:rsid w:val="5D7B5838"/>
    <w:rsid w:val="5D801846"/>
    <w:rsid w:val="5E2E1723"/>
    <w:rsid w:val="5E5D3F0F"/>
    <w:rsid w:val="5E9B295D"/>
    <w:rsid w:val="5EA01E7D"/>
    <w:rsid w:val="5F622534"/>
    <w:rsid w:val="60FB1953"/>
    <w:rsid w:val="61962054"/>
    <w:rsid w:val="62794474"/>
    <w:rsid w:val="62F540C8"/>
    <w:rsid w:val="6311647D"/>
    <w:rsid w:val="63F770B6"/>
    <w:rsid w:val="648551C1"/>
    <w:rsid w:val="65031562"/>
    <w:rsid w:val="6517024D"/>
    <w:rsid w:val="65693FBE"/>
    <w:rsid w:val="667E55F9"/>
    <w:rsid w:val="673764E7"/>
    <w:rsid w:val="68647685"/>
    <w:rsid w:val="689B427C"/>
    <w:rsid w:val="690070D3"/>
    <w:rsid w:val="692F6D28"/>
    <w:rsid w:val="695727D3"/>
    <w:rsid w:val="69B96A35"/>
    <w:rsid w:val="6A6E7DEE"/>
    <w:rsid w:val="6AEB4CB2"/>
    <w:rsid w:val="6B911C37"/>
    <w:rsid w:val="6BA130DC"/>
    <w:rsid w:val="6C5E2751"/>
    <w:rsid w:val="6CBC5A65"/>
    <w:rsid w:val="6D193343"/>
    <w:rsid w:val="6D396F2D"/>
    <w:rsid w:val="6D930D35"/>
    <w:rsid w:val="6DEB1AFA"/>
    <w:rsid w:val="6F2C2B63"/>
    <w:rsid w:val="6FC94490"/>
    <w:rsid w:val="6FE23FEC"/>
    <w:rsid w:val="70D54B3A"/>
    <w:rsid w:val="70F52D67"/>
    <w:rsid w:val="724C0826"/>
    <w:rsid w:val="738C66A1"/>
    <w:rsid w:val="73B75613"/>
    <w:rsid w:val="73D37EF9"/>
    <w:rsid w:val="745C755C"/>
    <w:rsid w:val="746074DD"/>
    <w:rsid w:val="746960C4"/>
    <w:rsid w:val="746E19DA"/>
    <w:rsid w:val="747333C2"/>
    <w:rsid w:val="74930975"/>
    <w:rsid w:val="749C61B1"/>
    <w:rsid w:val="74AB0B6C"/>
    <w:rsid w:val="75077F8C"/>
    <w:rsid w:val="75C624CA"/>
    <w:rsid w:val="75F45D2A"/>
    <w:rsid w:val="76760624"/>
    <w:rsid w:val="77093907"/>
    <w:rsid w:val="770F4CBA"/>
    <w:rsid w:val="78822602"/>
    <w:rsid w:val="78B00AF7"/>
    <w:rsid w:val="79243A77"/>
    <w:rsid w:val="7A0845B8"/>
    <w:rsid w:val="7A1B1D66"/>
    <w:rsid w:val="7A3F18E1"/>
    <w:rsid w:val="7AA93B67"/>
    <w:rsid w:val="7B223D6B"/>
    <w:rsid w:val="7C423561"/>
    <w:rsid w:val="7C852D7E"/>
    <w:rsid w:val="7C893D7A"/>
    <w:rsid w:val="7CD0724B"/>
    <w:rsid w:val="7CF05FA0"/>
    <w:rsid w:val="7D5F685E"/>
    <w:rsid w:val="7D687E98"/>
    <w:rsid w:val="7D8741B9"/>
    <w:rsid w:val="7D9031E9"/>
    <w:rsid w:val="7E8E0B7F"/>
    <w:rsid w:val="7EB740E4"/>
    <w:rsid w:val="7F3E3F87"/>
    <w:rsid w:val="7F843997"/>
    <w:rsid w:val="7FEA1C0C"/>
    <w:rsid w:val="7FF7422F"/>
    <w:rsid w:val="99FDF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 New New New New New New New New New New New New New New New New"/>
    <w:qFormat/>
    <w:uiPriority w:val="0"/>
    <w:pPr>
      <w:widowControl w:val="0"/>
      <w:jc w:val="both"/>
    </w:pPr>
    <w:rPr>
      <w:rFonts w:ascii="Times New Roman" w:hAnsi="Times New Roman" w:eastAsia="方正小标宋_GBK" w:cs="Times New Roman"/>
      <w:kern w:val="24"/>
      <w:sz w:val="130"/>
      <w:szCs w:val="24"/>
      <w:lang w:val="en-US" w:eastAsia="zh-CN" w:bidi="ar-SA"/>
    </w:rPr>
  </w:style>
  <w:style w:type="paragraph" w:customStyle="1" w:styleId="1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 New New New New New New New New New New New New"/>
    <w:next w:val="14"/>
    <w:qFormat/>
    <w:uiPriority w:val="0"/>
    <w:pPr>
      <w:widowControl w:val="0"/>
      <w:jc w:val="both"/>
    </w:pPr>
    <w:rPr>
      <w:rFonts w:ascii="Calibri" w:hAnsi="Calibri" w:eastAsia="宋体" w:cs="黑体"/>
      <w:kern w:val="2"/>
      <w:sz w:val="21"/>
      <w:szCs w:val="24"/>
      <w:lang w:val="en-US" w:eastAsia="zh-CN"/>
    </w:rPr>
  </w:style>
  <w:style w:type="paragraph" w:customStyle="1" w:styleId="14">
    <w:name w:val="标题 5 New New New New New"/>
    <w:basedOn w:val="13"/>
    <w:next w:val="13"/>
    <w:qFormat/>
    <w:uiPriority w:val="0"/>
    <w:pPr>
      <w:keepNext/>
      <w:keepLines/>
      <w:numPr>
        <w:ilvl w:val="4"/>
        <w:numId w:val="1"/>
      </w:numPr>
      <w:ind w:left="851" w:hanging="851"/>
      <w:outlineLvl w:val="4"/>
    </w:pPr>
    <w:rPr>
      <w:b/>
      <w:bCs/>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6674</Words>
  <Characters>6801</Characters>
  <Lines>0</Lines>
  <Paragraphs>0</Paragraphs>
  <TotalTime>187</TotalTime>
  <ScaleCrop>false</ScaleCrop>
  <LinksUpToDate>false</LinksUpToDate>
  <CharactersWithSpaces>7141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2023-10-31T00:57:00Z</dcterms:created>
  <dc:creator>八喜</dc:creator>
  <cp:lastModifiedBy>admin</cp:lastModifiedBy>
  <cp:lastPrinted>2025-02-08T17:31:00Z</cp:lastPrinted>
  <dcterms:modified xsi:type="dcterms:W3CDTF">2025-02-26T15:02:07Z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1109370F27DF4B7C888A6776CD116F70_13</vt:lpwstr>
  </property>
  <property fmtid="{D5CDD505-2E9C-101B-9397-08002B2CF9AE}" pid="4" name="KSOTemplateDocerSaveRecord">
    <vt:lpwstr>eyJoZGlkIjoiMTMyYTMwODQwY2YyNWM0NjE3OGZmNzczYTA0MTYzYWYiLCJ1c2VySWQiOiIxMjEzNjI1MDAyIn0=</vt:lpwstr>
  </property>
</Properties>
</file>