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Pr>
      <w:r>
        <w:t>　　</w:t>
      </w:r>
      <w:r>
        <w:rPr>
          <w:rFonts w:ascii="仿宋" w:hAnsi="仿宋" w:eastAsia="仿宋" w:cs="仿宋"/>
          <w:sz w:val="30"/>
          <w:szCs w:val="30"/>
        </w:rPr>
        <w:t>本报告按照《中华</w:t>
      </w:r>
      <w:bookmarkStart w:id="0" w:name="_GoBack"/>
      <w:bookmarkEnd w:id="0"/>
      <w:r>
        <w:rPr>
          <w:rFonts w:ascii="仿宋" w:hAnsi="仿宋" w:eastAsia="仿宋" w:cs="仿宋"/>
          <w:sz w:val="30"/>
          <w:szCs w:val="30"/>
        </w:rPr>
        <w:t>人民共和国政府信息公开条例》（以下简称《条例》）和《山东省政府信息公开办法》（以下简称《办法》）规定，在淄博市各区县人民政府、高新区、文昌湖区管委会和淄博市人民政府各部门、各有关单位政府信息公开工作年度报告的基础上编制。</w:t>
      </w:r>
    </w:p>
    <w:p>
      <w:pPr>
        <w:pStyle w:val="2"/>
        <w:keepNext w:val="0"/>
        <w:keepLines w:val="0"/>
        <w:widowControl/>
        <w:suppressLineNumbers w:val="0"/>
      </w:pPr>
      <w:r>
        <w:rPr>
          <w:rFonts w:hint="eastAsia" w:ascii="仿宋" w:hAnsi="仿宋" w:eastAsia="仿宋" w:cs="仿宋"/>
          <w:sz w:val="30"/>
          <w:szCs w:val="30"/>
        </w:rPr>
        <w:t>　　报告全文分为概述、公开制度和基础建设情况、主动公开情况、依申请公开情况、复议诉讼和举报情况、存在的不足及改进措施六个部分，并附有相关统计表格。</w:t>
      </w:r>
    </w:p>
    <w:p>
      <w:pPr>
        <w:pStyle w:val="2"/>
        <w:keepNext w:val="0"/>
        <w:keepLines w:val="0"/>
        <w:widowControl/>
        <w:suppressLineNumbers w:val="0"/>
      </w:pPr>
      <w:r>
        <w:rPr>
          <w:rFonts w:hint="eastAsia" w:ascii="仿宋" w:hAnsi="仿宋" w:eastAsia="仿宋" w:cs="仿宋"/>
          <w:sz w:val="30"/>
          <w:szCs w:val="30"/>
        </w:rPr>
        <w:t>　　报告中所列数据统计期限自2014年1月1日始，至2014年12月31日止。报告电子版可从淄博市人民政府门户网站（www.zibo.gov.cn）下载。如对报告内容有疑问，请与淄博市人民政府办公厅电子政务办公室联系（地址：淄博市张店区人民西路8号；邮编：255003；电话：0533-3183622）。</w:t>
      </w:r>
    </w:p>
    <w:p>
      <w:pPr>
        <w:pStyle w:val="2"/>
        <w:keepNext w:val="0"/>
        <w:keepLines w:val="0"/>
        <w:widowControl/>
        <w:suppressLineNumbers w:val="0"/>
      </w:pPr>
      <w:r>
        <w:t>　　</w:t>
      </w:r>
      <w:r>
        <w:rPr>
          <w:rStyle w:val="5"/>
        </w:rPr>
        <w:t>一、概述</w:t>
      </w:r>
    </w:p>
    <w:p>
      <w:pPr>
        <w:pStyle w:val="2"/>
        <w:keepNext w:val="0"/>
        <w:keepLines w:val="0"/>
        <w:widowControl/>
        <w:suppressLineNumbers w:val="0"/>
      </w:pPr>
      <w:r>
        <w:t>　　2014年，淄博市继续深入贯彻《条例》和《办法》，以落实国务院办公厅《关于印发2014年政府信息公开工作重点的通知》（国办发〔2014〕12号）和山东省人民政府办公厅《印发关于进一步加强政府信息公开工作实施方案的通知》（鲁政办发[2014]8号）、《关于印发当前全省政府信息公开工作要点的通知》（鲁政办发[2014]22号）等文件为重点，加强组织领导，完善制度机制，突出重点领域，做好全面公开，努力满足公民、法人和其他组织的知情权，大力推进阳光政府、法治政府和服务型政府建设。</w:t>
      </w:r>
    </w:p>
    <w:p>
      <w:pPr>
        <w:pStyle w:val="2"/>
        <w:keepNext w:val="0"/>
        <w:keepLines w:val="0"/>
        <w:widowControl/>
        <w:suppressLineNumbers w:val="0"/>
      </w:pPr>
      <w:r>
        <w:t>　　一是细化分解任务。市政府办公厅制定下发《关于进一步加强政府信息公开工作的通知》（淄政办发[2014]29号），将政府信息公开工作要点细化分解为9个类别、42项具体任务，编制形成《当前政府信息公开重点工作安排表》，明确每项工作的责任部门和完成时限，对全市做好政府信息公开工作形成有力引导。</w:t>
      </w:r>
    </w:p>
    <w:p>
      <w:pPr>
        <w:pStyle w:val="2"/>
        <w:keepNext w:val="0"/>
        <w:keepLines w:val="0"/>
        <w:widowControl/>
        <w:suppressLineNumbers w:val="0"/>
        <w:jc w:val="center"/>
      </w:pPr>
      <w:r>
        <w:t> </w:t>
      </w:r>
      <w:r>
        <w:drawing>
          <wp:inline distT="0" distB="0" distL="114300" distR="114300">
            <wp:extent cx="3200400" cy="2286000"/>
            <wp:effectExtent l="0" t="0" r="0" b="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3200400" cy="2286000"/>
                    </a:xfrm>
                    <a:prstGeom prst="rect">
                      <a:avLst/>
                    </a:prstGeom>
                    <a:noFill/>
                    <a:ln w="9525">
                      <a:noFill/>
                    </a:ln>
                  </pic:spPr>
                </pic:pic>
              </a:graphicData>
            </a:graphic>
          </wp:inline>
        </w:drawing>
      </w:r>
      <w:r>
        <w:br w:type="textWrapping"/>
      </w:r>
      <w:r>
        <w:t> </w:t>
      </w:r>
    </w:p>
    <w:p>
      <w:pPr>
        <w:pStyle w:val="2"/>
        <w:keepNext w:val="0"/>
        <w:keepLines w:val="0"/>
        <w:widowControl/>
        <w:suppressLineNumbers w:val="0"/>
      </w:pPr>
      <w:r>
        <w:t>　　二是召开专题会议。11月份，市政府办公厅组织召开全市政府信息公开暨市政府网站内容保障工作培训会议，对重点工作完成情况进行调度督促，对市、区县两级政府信息公开工作进行培训。常务副市长出席会议并提出要求，各区县政府、市政府各部门和有关单位分管负责人、信息公开主管部门负责人以及工作机构负责人参加会议。</w:t>
      </w:r>
    </w:p>
    <w:p>
      <w:pPr>
        <w:pStyle w:val="2"/>
        <w:keepNext w:val="0"/>
        <w:keepLines w:val="0"/>
        <w:widowControl/>
        <w:suppressLineNumbers w:val="0"/>
        <w:jc w:val="center"/>
      </w:pPr>
      <w:r>
        <w:drawing>
          <wp:inline distT="0" distB="0" distL="114300" distR="114300">
            <wp:extent cx="2581275" cy="1724025"/>
            <wp:effectExtent l="0" t="0" r="9525" b="9525"/>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5"/>
                    <a:stretch>
                      <a:fillRect/>
                    </a:stretch>
                  </pic:blipFill>
                  <pic:spPr>
                    <a:xfrm>
                      <a:off x="0" y="0"/>
                      <a:ext cx="2581275" cy="1724025"/>
                    </a:xfrm>
                    <a:prstGeom prst="rect">
                      <a:avLst/>
                    </a:prstGeom>
                    <a:noFill/>
                    <a:ln w="9525">
                      <a:noFill/>
                    </a:ln>
                  </pic:spPr>
                </pic:pic>
              </a:graphicData>
            </a:graphic>
          </wp:inline>
        </w:drawing>
      </w:r>
      <w:r>
        <w:br w:type="textWrapping"/>
      </w:r>
      <w:r>
        <w:t> </w:t>
      </w:r>
    </w:p>
    <w:p>
      <w:pPr>
        <w:pStyle w:val="2"/>
        <w:keepNext w:val="0"/>
        <w:keepLines w:val="0"/>
        <w:widowControl/>
        <w:suppressLineNumbers w:val="0"/>
      </w:pPr>
      <w:r>
        <w:t>　　三是加强督促检查。市政府办公厅分别于8月份、10月份对全市各级政府信息公开工作情况进行调度，并对部分单位进行抽查。10月份，将省政府督查组对我市督查后形成的《督查反馈意见书》转发全市进行对照整改。11月份，对全市重点工作完成情况展开督查，各级各部门将落实情况进行了网上公示，公开接受社会监督。</w:t>
      </w:r>
    </w:p>
    <w:p>
      <w:pPr>
        <w:pStyle w:val="2"/>
        <w:keepNext w:val="0"/>
        <w:keepLines w:val="0"/>
        <w:widowControl/>
        <w:suppressLineNumbers w:val="0"/>
        <w:jc w:val="center"/>
      </w:pPr>
      <w:r>
        <w:drawing>
          <wp:inline distT="0" distB="0" distL="114300" distR="114300">
            <wp:extent cx="4305300" cy="2962275"/>
            <wp:effectExtent l="0" t="0" r="0" b="9525"/>
            <wp:docPr id="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8"/>
                    <pic:cNvPicPr>
                      <a:picLocks noChangeAspect="1"/>
                    </pic:cNvPicPr>
                  </pic:nvPicPr>
                  <pic:blipFill>
                    <a:blip r:embed="rId6"/>
                    <a:stretch>
                      <a:fillRect/>
                    </a:stretch>
                  </pic:blipFill>
                  <pic:spPr>
                    <a:xfrm>
                      <a:off x="0" y="0"/>
                      <a:ext cx="4305300" cy="2962275"/>
                    </a:xfrm>
                    <a:prstGeom prst="rect">
                      <a:avLst/>
                    </a:prstGeom>
                    <a:noFill/>
                    <a:ln w="9525">
                      <a:noFill/>
                    </a:ln>
                  </pic:spPr>
                </pic:pic>
              </a:graphicData>
            </a:graphic>
          </wp:inline>
        </w:drawing>
      </w:r>
      <w:r>
        <w:br w:type="textWrapping"/>
      </w:r>
      <w:r>
        <w:t> </w:t>
      </w:r>
    </w:p>
    <w:p>
      <w:pPr>
        <w:pStyle w:val="2"/>
        <w:keepNext w:val="0"/>
        <w:keepLines w:val="0"/>
        <w:widowControl/>
        <w:suppressLineNumbers w:val="0"/>
      </w:pPr>
      <w:r>
        <w:t>　　四是纳入党的群众路线教育实践活动加以推进。市政府将“加强政府信息公开，及时回应群众关切”作为全市政府系统教育实践活动整改提高的重要内容写入《关于改进工作方式转变工作作风的意见》（淄政办发[2014]30号），要求全市政府系统从践行党的群众路线、保障公众知情权、参与权和监督权的高度深入做好政府信息公开工作。市政府督查室定期调度，形成齐抓共管的工作合力。</w:t>
      </w:r>
    </w:p>
    <w:p>
      <w:pPr>
        <w:pStyle w:val="2"/>
        <w:keepNext w:val="0"/>
        <w:keepLines w:val="0"/>
        <w:widowControl/>
        <w:suppressLineNumbers w:val="0"/>
        <w:jc w:val="center"/>
      </w:pPr>
      <w:r>
        <w:drawing>
          <wp:inline distT="0" distB="0" distL="114300" distR="114300">
            <wp:extent cx="1619250" cy="2333625"/>
            <wp:effectExtent l="0" t="0" r="0" b="9525"/>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7"/>
                    <a:stretch>
                      <a:fillRect/>
                    </a:stretch>
                  </pic:blipFill>
                  <pic:spPr>
                    <a:xfrm>
                      <a:off x="0" y="0"/>
                      <a:ext cx="1619250" cy="2333625"/>
                    </a:xfrm>
                    <a:prstGeom prst="rect">
                      <a:avLst/>
                    </a:prstGeom>
                    <a:noFill/>
                    <a:ln w="9525">
                      <a:noFill/>
                    </a:ln>
                  </pic:spPr>
                </pic:pic>
              </a:graphicData>
            </a:graphic>
          </wp:inline>
        </w:drawing>
      </w:r>
      <w:r>
        <w:t> </w:t>
      </w:r>
    </w:p>
    <w:p>
      <w:pPr>
        <w:pStyle w:val="2"/>
        <w:keepNext w:val="0"/>
        <w:keepLines w:val="0"/>
        <w:widowControl/>
        <w:suppressLineNumbers w:val="0"/>
      </w:pPr>
      <w:r>
        <w:t>　　</w:t>
      </w:r>
      <w:r>
        <w:rPr>
          <w:rStyle w:val="5"/>
        </w:rPr>
        <w:t>二、公开制度和基础建设情况</w:t>
      </w:r>
    </w:p>
    <w:p>
      <w:pPr>
        <w:pStyle w:val="2"/>
        <w:keepNext w:val="0"/>
        <w:keepLines w:val="0"/>
        <w:widowControl/>
        <w:suppressLineNumbers w:val="0"/>
      </w:pPr>
      <w:r>
        <w:t>　　（一）完善主动发布机制</w:t>
      </w:r>
    </w:p>
    <w:p>
      <w:pPr>
        <w:pStyle w:val="2"/>
        <w:keepNext w:val="0"/>
        <w:keepLines w:val="0"/>
        <w:widowControl/>
        <w:suppressLineNumbers w:val="0"/>
      </w:pPr>
      <w:r>
        <w:t>　　一是进一步明确公开主体单位。市政府办公厅重新明确了市级94个信息公开主体单位（含企事业单位），公布了与民生关系密切、社会关注度高的27个政府部门，对其公开义务提出了更为具体的要求，并进行重点调度督查。</w:t>
      </w:r>
    </w:p>
    <w:p>
      <w:pPr>
        <w:pStyle w:val="2"/>
        <w:keepNext w:val="0"/>
        <w:keepLines w:val="0"/>
        <w:widowControl/>
        <w:suppressLineNumbers w:val="0"/>
      </w:pPr>
      <w:r>
        <w:t>　　二是进一步加强公开渠道建设。统筹运用政府网站、新闻发布会、政府公报、广播电视、报刊等渠道发布信息，努力扩大政府信息的受众面。截止2014年底，全市各级各部门共开通政府网站或在门户网站设立政府信息公开专栏428个，淄博市人民政府公报发行量达到4500份，全年发行15期。充分发挥政府网站在信息公开中的主渠道作用，市政府门户网站围绕信息公开设立了走进淄博、便民服务、政民互动等多个板块36个栏目。认真做好对市民通过市政府门户网站互动平台提交问题的处理工作，全年共办理答复网上咨询建议事项560件，监督投诉事项1320件。另外，市政府于10月份在门户网站开通了政府信息公开申请网上提交渠道，实现了政府信息公开申请的网上受理。 </w:t>
      </w:r>
    </w:p>
    <w:p>
      <w:pPr>
        <w:pStyle w:val="2"/>
        <w:keepNext w:val="0"/>
        <w:keepLines w:val="0"/>
        <w:widowControl/>
        <w:suppressLineNumbers w:val="0"/>
        <w:jc w:val="center"/>
      </w:pPr>
      <w:r>
        <w:drawing>
          <wp:inline distT="0" distB="0" distL="114300" distR="114300">
            <wp:extent cx="3705225" cy="2847975"/>
            <wp:effectExtent l="0" t="0" r="9525" b="9525"/>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8"/>
                    <a:stretch>
                      <a:fillRect/>
                    </a:stretch>
                  </pic:blipFill>
                  <pic:spPr>
                    <a:xfrm>
                      <a:off x="0" y="0"/>
                      <a:ext cx="3705225" cy="2847975"/>
                    </a:xfrm>
                    <a:prstGeom prst="rect">
                      <a:avLst/>
                    </a:prstGeom>
                    <a:noFill/>
                    <a:ln w="9525">
                      <a:noFill/>
                    </a:ln>
                  </pic:spPr>
                </pic:pic>
              </a:graphicData>
            </a:graphic>
          </wp:inline>
        </w:drawing>
      </w:r>
      <w:r>
        <w:drawing>
          <wp:inline distT="0" distB="0" distL="114300" distR="114300">
            <wp:extent cx="4219575" cy="2352675"/>
            <wp:effectExtent l="0" t="0" r="9525" b="9525"/>
            <wp:docPr id="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IMG_261"/>
                    <pic:cNvPicPr>
                      <a:picLocks noChangeAspect="1"/>
                    </pic:cNvPicPr>
                  </pic:nvPicPr>
                  <pic:blipFill>
                    <a:blip r:embed="rId9"/>
                    <a:stretch>
                      <a:fillRect/>
                    </a:stretch>
                  </pic:blipFill>
                  <pic:spPr>
                    <a:xfrm>
                      <a:off x="0" y="0"/>
                      <a:ext cx="4219575" cy="2352675"/>
                    </a:xfrm>
                    <a:prstGeom prst="rect">
                      <a:avLst/>
                    </a:prstGeom>
                    <a:noFill/>
                    <a:ln w="9525">
                      <a:noFill/>
                    </a:ln>
                  </pic:spPr>
                </pic:pic>
              </a:graphicData>
            </a:graphic>
          </wp:inline>
        </w:drawing>
      </w:r>
      <w:r>
        <w:t> </w:t>
      </w:r>
    </w:p>
    <w:p>
      <w:pPr>
        <w:pStyle w:val="2"/>
        <w:keepNext w:val="0"/>
        <w:keepLines w:val="0"/>
        <w:widowControl/>
        <w:suppressLineNumbers w:val="0"/>
      </w:pPr>
      <w:r>
        <w:t>　　三是完善信息发布流程。市政府办公厅制定《公文类信息公开审核办法》、《政府公文网上发布保密审查制度》等规定，建立了“先审查、后公开”、“一事一审”等从源头上确定政府信息公开属性的机制。公文以外的其他政府信息也都做到了“一事一审、先审后发”。</w:t>
      </w:r>
    </w:p>
    <w:p>
      <w:pPr>
        <w:pStyle w:val="2"/>
        <w:keepNext w:val="0"/>
        <w:keepLines w:val="0"/>
        <w:widowControl/>
        <w:suppressLineNumbers w:val="0"/>
      </w:pPr>
      <w:r>
        <w:t>　　（二）加强公文解读和政策咨询工作</w:t>
      </w:r>
    </w:p>
    <w:p>
      <w:pPr>
        <w:pStyle w:val="2"/>
        <w:keepNext w:val="0"/>
        <w:keepLines w:val="0"/>
        <w:widowControl/>
        <w:suppressLineNumbers w:val="0"/>
      </w:pPr>
      <w:r>
        <w:t>　　通过淄政办发[2014]29号、30号文，对政策解读工作作出强制规定，明确重要政策和规范性文件以及涉及公共、企业利益和专业性较强的公文必须配发解读，并要求各级各部门组建解读专家队伍，在政府网站完善解读、咨询等栏目，方便群众查询。市政府办公厅配套制订《政府信息解读工作说明》，市政府文件解读材料实现同步编制和发布。截止年底，市政府门户网站共刊载各类政府信息解读1000余条。</w:t>
      </w:r>
    </w:p>
    <w:p>
      <w:pPr>
        <w:pStyle w:val="2"/>
        <w:keepNext w:val="0"/>
        <w:keepLines w:val="0"/>
        <w:widowControl/>
        <w:suppressLineNumbers w:val="0"/>
      </w:pPr>
      <w:r>
        <w:t>　　（三）加强舆情收集、研判、报告和回应工作</w:t>
      </w:r>
    </w:p>
    <w:p>
      <w:pPr>
        <w:pStyle w:val="2"/>
        <w:keepNext w:val="0"/>
        <w:keepLines w:val="0"/>
        <w:widowControl/>
        <w:suppressLineNumbers w:val="0"/>
      </w:pPr>
      <w:r>
        <w:t>　　市网络文化办公室负责网上舆论的引导回应工作，对网上舆情进行监测、研判，并建有报告制度，及时将群众诉求上报并转请有关部门进行处置和回应。</w:t>
      </w:r>
    </w:p>
    <w:p>
      <w:pPr>
        <w:pStyle w:val="2"/>
        <w:keepNext w:val="0"/>
        <w:keepLines w:val="0"/>
        <w:widowControl/>
        <w:suppressLineNumbers w:val="0"/>
      </w:pPr>
      <w:r>
        <w:t>　　（四）健全新闻发布制度，规范召开新闻发布会</w:t>
      </w:r>
    </w:p>
    <w:p>
      <w:pPr>
        <w:pStyle w:val="2"/>
        <w:keepNext w:val="0"/>
        <w:keepLines w:val="0"/>
        <w:widowControl/>
        <w:suppressLineNumbers w:val="0"/>
        <w:jc w:val="left"/>
      </w:pPr>
      <w:r>
        <w:t>　　2014年制定《关于进一步加强党委、政府工作部门新闻发布工作的意见》，对新闻发布会的时间、内容、形式、程序以及新闻发言人的职责等提出进一步要求。6月份重新对全市新闻发言人进行了调整公布，市政府设新闻发言人3人，8个区县及高新区、文昌湖区管委会共设新闻发言人14人， 42个市政府工作部门均设立了新闻发言人。2014年市级共组织召开新闻发布会33场，27个与宏观经济和民生关系密切以及社会关注事项较多的部门全部举行了新闻发布会。</w:t>
      </w:r>
    </w:p>
    <w:p>
      <w:pPr>
        <w:pStyle w:val="2"/>
        <w:keepNext w:val="0"/>
        <w:keepLines w:val="0"/>
        <w:widowControl/>
        <w:suppressLineNumbers w:val="0"/>
        <w:jc w:val="center"/>
      </w:pPr>
      <w:r>
        <w:drawing>
          <wp:inline distT="0" distB="0" distL="114300" distR="114300">
            <wp:extent cx="3914775" cy="2933700"/>
            <wp:effectExtent l="0" t="0" r="9525" b="0"/>
            <wp:docPr id="2"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IMG_262"/>
                    <pic:cNvPicPr>
                      <a:picLocks noChangeAspect="1"/>
                    </pic:cNvPicPr>
                  </pic:nvPicPr>
                  <pic:blipFill>
                    <a:blip r:embed="rId10"/>
                    <a:stretch>
                      <a:fillRect/>
                    </a:stretch>
                  </pic:blipFill>
                  <pic:spPr>
                    <a:xfrm>
                      <a:off x="0" y="0"/>
                      <a:ext cx="3914775" cy="2933700"/>
                    </a:xfrm>
                    <a:prstGeom prst="rect">
                      <a:avLst/>
                    </a:prstGeom>
                    <a:noFill/>
                    <a:ln w="9525">
                      <a:noFill/>
                    </a:ln>
                  </pic:spPr>
                </pic:pic>
              </a:graphicData>
            </a:graphic>
          </wp:inline>
        </w:drawing>
      </w:r>
      <w:r>
        <w:t> </w:t>
      </w:r>
    </w:p>
    <w:p>
      <w:pPr>
        <w:pStyle w:val="2"/>
        <w:keepNext w:val="0"/>
        <w:keepLines w:val="0"/>
        <w:widowControl/>
        <w:suppressLineNumbers w:val="0"/>
      </w:pPr>
      <w:r>
        <w:t>　　（五）完善依申请公开机制</w:t>
      </w:r>
    </w:p>
    <w:p>
      <w:pPr>
        <w:pStyle w:val="2"/>
        <w:keepNext w:val="0"/>
        <w:keepLines w:val="0"/>
        <w:widowControl/>
        <w:suppressLineNumbers w:val="0"/>
      </w:pPr>
      <w:r>
        <w:t>　　继续巩固“工作机构主办、业务部门承办、法制部门合法性审查”的依申请公开工作机制，努力优化办理流程，缩短办理时限，提高办理质量。完善协调会商机制，重大疑难问题由信息公开工作机构、业务部门、法制部门和政府法律顾问会商，努力保障答复的准确性和合法性。</w:t>
      </w:r>
    </w:p>
    <w:p>
      <w:pPr>
        <w:pStyle w:val="2"/>
        <w:keepNext w:val="0"/>
        <w:keepLines w:val="0"/>
        <w:widowControl/>
        <w:suppressLineNumbers w:val="0"/>
      </w:pPr>
      <w:r>
        <w:t>　　（六）加强新媒体应用</w:t>
      </w:r>
    </w:p>
    <w:p>
      <w:pPr>
        <w:pStyle w:val="2"/>
        <w:keepNext w:val="0"/>
        <w:keepLines w:val="0"/>
        <w:widowControl/>
        <w:suppressLineNumbers w:val="0"/>
      </w:pPr>
      <w:r>
        <w:t>　　市政府新闻办官方微博“@淄博发布”成立以来已发布各类信息3819条。为加强对全市政务微博的管理，2014年制定出台《关于做好政务微博管理运行工作的意见》。截止年底，全市各级开通政务微博、微信共计150余个。</w:t>
      </w:r>
    </w:p>
    <w:p>
      <w:pPr>
        <w:pStyle w:val="2"/>
        <w:keepNext w:val="0"/>
        <w:keepLines w:val="0"/>
        <w:widowControl/>
        <w:suppressLineNumbers w:val="0"/>
        <w:jc w:val="center"/>
      </w:pPr>
      <w:r>
        <w:drawing>
          <wp:inline distT="0" distB="0" distL="114300" distR="114300">
            <wp:extent cx="3543300" cy="2428875"/>
            <wp:effectExtent l="0" t="0" r="0" b="9525"/>
            <wp:docPr id="8"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63"/>
                    <pic:cNvPicPr>
                      <a:picLocks noChangeAspect="1"/>
                    </pic:cNvPicPr>
                  </pic:nvPicPr>
                  <pic:blipFill>
                    <a:blip r:embed="rId11"/>
                    <a:stretch>
                      <a:fillRect/>
                    </a:stretch>
                  </pic:blipFill>
                  <pic:spPr>
                    <a:xfrm>
                      <a:off x="0" y="0"/>
                      <a:ext cx="3543300" cy="2428875"/>
                    </a:xfrm>
                    <a:prstGeom prst="rect">
                      <a:avLst/>
                    </a:prstGeom>
                    <a:noFill/>
                    <a:ln w="9525">
                      <a:noFill/>
                    </a:ln>
                  </pic:spPr>
                </pic:pic>
              </a:graphicData>
            </a:graphic>
          </wp:inline>
        </w:drawing>
      </w:r>
      <w:r>
        <w:drawing>
          <wp:inline distT="0" distB="0" distL="114300" distR="114300">
            <wp:extent cx="1438275" cy="2419350"/>
            <wp:effectExtent l="0" t="0" r="9525" b="0"/>
            <wp:docPr id="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64"/>
                    <pic:cNvPicPr>
                      <a:picLocks noChangeAspect="1"/>
                    </pic:cNvPicPr>
                  </pic:nvPicPr>
                  <pic:blipFill>
                    <a:blip r:embed="rId12"/>
                    <a:stretch>
                      <a:fillRect/>
                    </a:stretch>
                  </pic:blipFill>
                  <pic:spPr>
                    <a:xfrm>
                      <a:off x="0" y="0"/>
                      <a:ext cx="1438275" cy="2419350"/>
                    </a:xfrm>
                    <a:prstGeom prst="rect">
                      <a:avLst/>
                    </a:prstGeom>
                    <a:noFill/>
                    <a:ln w="9525">
                      <a:noFill/>
                    </a:ln>
                  </pic:spPr>
                </pic:pic>
              </a:graphicData>
            </a:graphic>
          </wp:inline>
        </w:drawing>
      </w:r>
      <w:r>
        <w:t> </w:t>
      </w:r>
    </w:p>
    <w:p>
      <w:pPr>
        <w:pStyle w:val="2"/>
        <w:keepNext w:val="0"/>
        <w:keepLines w:val="0"/>
        <w:widowControl/>
        <w:suppressLineNumbers w:val="0"/>
        <w:jc w:val="left"/>
      </w:pPr>
      <w:r>
        <w:t>    （七）规范统计工作</w:t>
      </w:r>
    </w:p>
    <w:p>
      <w:pPr>
        <w:pStyle w:val="2"/>
        <w:keepNext w:val="0"/>
        <w:keepLines w:val="0"/>
        <w:widowControl/>
        <w:suppressLineNumbers w:val="0"/>
      </w:pPr>
      <w:r>
        <w:t>　　为进一步做好政府信息公开统计报送工作，健全完善指标统一、项目规范、口径一致、数据准确的统计报送制度，市政府办公厅制定下发《关于规范政府信息公开情况统计报送工作的通知》（淄政办字[2014]97号），统一明确全市各级政府信息公开统计范围和统计内容，努力发挥统计对政府信息公开工作的基础性作用。</w:t>
      </w:r>
    </w:p>
    <w:p>
      <w:pPr>
        <w:pStyle w:val="2"/>
        <w:keepNext w:val="0"/>
        <w:keepLines w:val="0"/>
        <w:widowControl/>
        <w:suppressLineNumbers w:val="0"/>
        <w:jc w:val="center"/>
      </w:pPr>
      <w:r>
        <w:drawing>
          <wp:inline distT="0" distB="0" distL="114300" distR="114300">
            <wp:extent cx="1524000" cy="2114550"/>
            <wp:effectExtent l="0" t="0" r="0" b="0"/>
            <wp:docPr id="10"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65"/>
                    <pic:cNvPicPr>
                      <a:picLocks noChangeAspect="1"/>
                    </pic:cNvPicPr>
                  </pic:nvPicPr>
                  <pic:blipFill>
                    <a:blip r:embed="rId13"/>
                    <a:stretch>
                      <a:fillRect/>
                    </a:stretch>
                  </pic:blipFill>
                  <pic:spPr>
                    <a:xfrm>
                      <a:off x="0" y="0"/>
                      <a:ext cx="1524000" cy="2114550"/>
                    </a:xfrm>
                    <a:prstGeom prst="rect">
                      <a:avLst/>
                    </a:prstGeom>
                    <a:noFill/>
                    <a:ln w="9525">
                      <a:noFill/>
                    </a:ln>
                  </pic:spPr>
                </pic:pic>
              </a:graphicData>
            </a:graphic>
          </wp:inline>
        </w:drawing>
      </w:r>
      <w:r>
        <w:t>  </w:t>
      </w:r>
    </w:p>
    <w:p>
      <w:pPr>
        <w:pStyle w:val="2"/>
        <w:keepNext w:val="0"/>
        <w:keepLines w:val="0"/>
        <w:widowControl/>
        <w:suppressLineNumbers w:val="0"/>
      </w:pPr>
      <w:r>
        <w:t>　　（八）加强业务培训</w:t>
      </w:r>
    </w:p>
    <w:p>
      <w:pPr>
        <w:pStyle w:val="2"/>
        <w:keepNext w:val="0"/>
        <w:keepLines w:val="0"/>
        <w:widowControl/>
        <w:suppressLineNumbers w:val="0"/>
      </w:pPr>
      <w:r>
        <w:t>　　市政府办公厅将政府信息公开培训工作列入年度计划，并将所需经费列入预算。11月13日，召开全市政府信息公开暨市政府网站内容保障培训会议，邀请省、市相关专家进行授课，市、区县两级200余人参加会议。</w:t>
      </w:r>
    </w:p>
    <w:p>
      <w:pPr>
        <w:pStyle w:val="2"/>
        <w:keepNext w:val="0"/>
        <w:keepLines w:val="0"/>
        <w:widowControl/>
        <w:suppressLineNumbers w:val="0"/>
        <w:jc w:val="center"/>
      </w:pPr>
      <w:r>
        <w:drawing>
          <wp:inline distT="0" distB="0" distL="114300" distR="114300">
            <wp:extent cx="1609725" cy="2333625"/>
            <wp:effectExtent l="0" t="0" r="9525" b="9525"/>
            <wp:docPr id="1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6"/>
                    <pic:cNvPicPr>
                      <a:picLocks noChangeAspect="1"/>
                    </pic:cNvPicPr>
                  </pic:nvPicPr>
                  <pic:blipFill>
                    <a:blip r:embed="rId14"/>
                    <a:stretch>
                      <a:fillRect/>
                    </a:stretch>
                  </pic:blipFill>
                  <pic:spPr>
                    <a:xfrm>
                      <a:off x="0" y="0"/>
                      <a:ext cx="1609725" cy="2333625"/>
                    </a:xfrm>
                    <a:prstGeom prst="rect">
                      <a:avLst/>
                    </a:prstGeom>
                    <a:noFill/>
                    <a:ln w="9525">
                      <a:noFill/>
                    </a:ln>
                  </pic:spPr>
                </pic:pic>
              </a:graphicData>
            </a:graphic>
          </wp:inline>
        </w:drawing>
      </w:r>
      <w:r>
        <w:drawing>
          <wp:inline distT="0" distB="0" distL="114300" distR="114300">
            <wp:extent cx="3524250" cy="2333625"/>
            <wp:effectExtent l="0" t="0" r="0" b="9525"/>
            <wp:docPr id="12"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67"/>
                    <pic:cNvPicPr>
                      <a:picLocks noChangeAspect="1"/>
                    </pic:cNvPicPr>
                  </pic:nvPicPr>
                  <pic:blipFill>
                    <a:blip r:embed="rId15"/>
                    <a:stretch>
                      <a:fillRect/>
                    </a:stretch>
                  </pic:blipFill>
                  <pic:spPr>
                    <a:xfrm>
                      <a:off x="0" y="0"/>
                      <a:ext cx="3524250" cy="2333625"/>
                    </a:xfrm>
                    <a:prstGeom prst="rect">
                      <a:avLst/>
                    </a:prstGeom>
                    <a:noFill/>
                    <a:ln w="9525">
                      <a:noFill/>
                    </a:ln>
                  </pic:spPr>
                </pic:pic>
              </a:graphicData>
            </a:graphic>
          </wp:inline>
        </w:drawing>
      </w:r>
      <w:r>
        <w:t> </w:t>
      </w:r>
    </w:p>
    <w:p>
      <w:pPr>
        <w:pStyle w:val="2"/>
        <w:keepNext w:val="0"/>
        <w:keepLines w:val="0"/>
        <w:widowControl/>
        <w:suppressLineNumbers w:val="0"/>
      </w:pPr>
      <w:r>
        <w:t>　　（九）加强督查考核</w:t>
      </w:r>
    </w:p>
    <w:p>
      <w:pPr>
        <w:pStyle w:val="2"/>
        <w:keepNext w:val="0"/>
        <w:keepLines w:val="0"/>
        <w:widowControl/>
        <w:suppressLineNumbers w:val="0"/>
      </w:pPr>
      <w:r>
        <w:t>　　2014年，我市继续加强对信息公开工作的考核力度，结合当年工作制定考核细则，确定考核指标、量化分值，将其纳入到当年目标管理考核工作实施方案，并将考核结果纳入全市党政领导班子目标管理考核。</w:t>
      </w:r>
    </w:p>
    <w:p>
      <w:pPr>
        <w:pStyle w:val="2"/>
        <w:keepNext w:val="0"/>
        <w:keepLines w:val="0"/>
        <w:widowControl/>
        <w:suppressLineNumbers w:val="0"/>
      </w:pPr>
      <w:r>
        <w:t>　　</w:t>
      </w:r>
      <w:r>
        <w:rPr>
          <w:rStyle w:val="5"/>
        </w:rPr>
        <w:t>三、主动公开情况</w:t>
      </w:r>
    </w:p>
    <w:p>
      <w:pPr>
        <w:pStyle w:val="2"/>
        <w:keepNext w:val="0"/>
        <w:keepLines w:val="0"/>
        <w:widowControl/>
        <w:suppressLineNumbers w:val="0"/>
      </w:pPr>
      <w:r>
        <w:t>　　（一）主动公开信息数量</w:t>
      </w:r>
    </w:p>
    <w:p>
      <w:pPr>
        <w:pStyle w:val="2"/>
        <w:keepNext w:val="0"/>
        <w:keepLines w:val="0"/>
        <w:widowControl/>
        <w:suppressLineNumbers w:val="0"/>
      </w:pPr>
      <w:r>
        <w:t>　　2014年，全市各级共主动公开政府信息69450条，比上年增加43.9%，其中市政府及其部门公开23318条，比上年增加32.3%，区县及以下公开46132条，比上年增加50.6%。</w:t>
      </w:r>
    </w:p>
    <w:p>
      <w:pPr>
        <w:pStyle w:val="2"/>
        <w:keepNext w:val="0"/>
        <w:keepLines w:val="0"/>
        <w:widowControl/>
        <w:suppressLineNumbers w:val="0"/>
        <w:jc w:val="center"/>
      </w:pPr>
      <w:r>
        <w:drawing>
          <wp:inline distT="0" distB="0" distL="114300" distR="114300">
            <wp:extent cx="5038725" cy="2647950"/>
            <wp:effectExtent l="0" t="0" r="9525" b="0"/>
            <wp:docPr id="13"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68"/>
                    <pic:cNvPicPr>
                      <a:picLocks noChangeAspect="1"/>
                    </pic:cNvPicPr>
                  </pic:nvPicPr>
                  <pic:blipFill>
                    <a:blip r:embed="rId16"/>
                    <a:stretch>
                      <a:fillRect/>
                    </a:stretch>
                  </pic:blipFill>
                  <pic:spPr>
                    <a:xfrm>
                      <a:off x="0" y="0"/>
                      <a:ext cx="5038725" cy="2647950"/>
                    </a:xfrm>
                    <a:prstGeom prst="rect">
                      <a:avLst/>
                    </a:prstGeom>
                    <a:noFill/>
                    <a:ln w="9525">
                      <a:noFill/>
                    </a:ln>
                  </pic:spPr>
                </pic:pic>
              </a:graphicData>
            </a:graphic>
          </wp:inline>
        </w:drawing>
      </w:r>
      <w:r>
        <w:t>  </w:t>
      </w:r>
    </w:p>
    <w:p>
      <w:pPr>
        <w:pStyle w:val="2"/>
        <w:keepNext w:val="0"/>
        <w:keepLines w:val="0"/>
        <w:widowControl/>
        <w:suppressLineNumbers w:val="0"/>
      </w:pPr>
      <w:r>
        <w:t>　　（二）重点领域公开情况</w:t>
      </w:r>
    </w:p>
    <w:p>
      <w:pPr>
        <w:pStyle w:val="2"/>
        <w:keepNext w:val="0"/>
        <w:keepLines w:val="0"/>
        <w:widowControl/>
        <w:suppressLineNumbers w:val="0"/>
      </w:pPr>
      <w:r>
        <w:t>　　1、重大行政决策信息公开情况</w:t>
      </w:r>
    </w:p>
    <w:p>
      <w:pPr>
        <w:pStyle w:val="2"/>
        <w:keepNext w:val="0"/>
        <w:keepLines w:val="0"/>
        <w:widowControl/>
        <w:suppressLineNumbers w:val="0"/>
      </w:pPr>
      <w:r>
        <w:t>　　6月份，市政府制定下发《淄博市重大行政决策事项程序规定》（市政府令第93号），确定了重大行政决策公众参与制度，明确规定各级各部门在作出重大行政决策前应向社会公示其决策草案，公示时间不得少于20日。规定出台后，各级均在规定期限内通过政府网站等渠道对重大行政决策草案进行了主动公开。</w:t>
      </w:r>
    </w:p>
    <w:p>
      <w:pPr>
        <w:pStyle w:val="2"/>
        <w:keepNext w:val="0"/>
        <w:keepLines w:val="0"/>
        <w:widowControl/>
        <w:suppressLineNumbers w:val="0"/>
      </w:pPr>
      <w:r>
        <w:t>　　2、行政权力运行公开情况</w:t>
      </w:r>
    </w:p>
    <w:p>
      <w:pPr>
        <w:pStyle w:val="2"/>
        <w:keepNext w:val="0"/>
        <w:keepLines w:val="0"/>
        <w:widowControl/>
        <w:suppressLineNumbers w:val="0"/>
      </w:pPr>
      <w:r>
        <w:t>　　9月份，市政府印发《关于在全市推行行政权力清单制度的实施意见》，就依法公开权力清单及权力运行流程等事项作出明确规定。10月份，印发《关于公开市级行政审批事项并印发&lt;淄博市行政审批事项目录管理办法&gt;的通知》，将清理确定的501项（含子项共计776项）行政审批事项目录清单同时在市政府和市编办网站进行了公开。各区县的行政审批事项目录清单也于12月底前全部进行了公开。其他行政权力事项的清理公开工作正在进行之中，清理完毕后将全部公开。</w:t>
      </w:r>
    </w:p>
    <w:p>
      <w:pPr>
        <w:pStyle w:val="2"/>
        <w:keepNext w:val="0"/>
        <w:keepLines w:val="0"/>
        <w:widowControl/>
        <w:suppressLineNumbers w:val="0"/>
        <w:jc w:val="center"/>
      </w:pPr>
      <w:r>
        <w:drawing>
          <wp:inline distT="0" distB="0" distL="114300" distR="114300">
            <wp:extent cx="3324225" cy="3619500"/>
            <wp:effectExtent l="0" t="0" r="9525" b="0"/>
            <wp:docPr id="14"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69"/>
                    <pic:cNvPicPr>
                      <a:picLocks noChangeAspect="1"/>
                    </pic:cNvPicPr>
                  </pic:nvPicPr>
                  <pic:blipFill>
                    <a:blip r:embed="rId17"/>
                    <a:stretch>
                      <a:fillRect/>
                    </a:stretch>
                  </pic:blipFill>
                  <pic:spPr>
                    <a:xfrm>
                      <a:off x="0" y="0"/>
                      <a:ext cx="3324225" cy="3619500"/>
                    </a:xfrm>
                    <a:prstGeom prst="rect">
                      <a:avLst/>
                    </a:prstGeom>
                    <a:noFill/>
                    <a:ln w="9525">
                      <a:noFill/>
                    </a:ln>
                  </pic:spPr>
                </pic:pic>
              </a:graphicData>
            </a:graphic>
          </wp:inline>
        </w:drawing>
      </w:r>
    </w:p>
    <w:p>
      <w:pPr>
        <w:pStyle w:val="2"/>
        <w:keepNext w:val="0"/>
        <w:keepLines w:val="0"/>
        <w:widowControl/>
        <w:suppressLineNumbers w:val="0"/>
      </w:pPr>
      <w:r>
        <w:t>　　3、财政资金信息公开情况</w:t>
      </w:r>
    </w:p>
    <w:p>
      <w:pPr>
        <w:pStyle w:val="2"/>
        <w:keepNext w:val="0"/>
        <w:keepLines w:val="0"/>
        <w:widowControl/>
        <w:suppressLineNumbers w:val="0"/>
      </w:pPr>
      <w:r>
        <w:t>　　一是市级部门首次公开了部门预决算。在市政府公开财政预决算的基础上，市级79个部门（含下属单位168个）于5月份和10月份集中公开了2014年部门预算、2013年部门决算及三公经费决算。二是积极推进区县财政预决算公开工作。2014年，临淄、周村、桓台、沂源4个区县作为试点，与市级同步公开了财政预决算及部门预决算，其他区县将于2015年全部公开。三是推动审计信息公开。市审计局网站设立审计工作通告和审计结果公告栏目，发布预算执行、财政收支及专项审计结果等信息。</w:t>
      </w:r>
    </w:p>
    <w:p>
      <w:pPr>
        <w:pStyle w:val="2"/>
        <w:keepNext w:val="0"/>
        <w:keepLines w:val="0"/>
        <w:widowControl/>
        <w:suppressLineNumbers w:val="0"/>
        <w:jc w:val="center"/>
      </w:pPr>
      <w:r>
        <w:drawing>
          <wp:inline distT="0" distB="0" distL="114300" distR="114300">
            <wp:extent cx="3657600" cy="3562350"/>
            <wp:effectExtent l="0" t="0" r="0" b="0"/>
            <wp:docPr id="1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70"/>
                    <pic:cNvPicPr>
                      <a:picLocks noChangeAspect="1"/>
                    </pic:cNvPicPr>
                  </pic:nvPicPr>
                  <pic:blipFill>
                    <a:blip r:embed="rId18"/>
                    <a:stretch>
                      <a:fillRect/>
                    </a:stretch>
                  </pic:blipFill>
                  <pic:spPr>
                    <a:xfrm>
                      <a:off x="0" y="0"/>
                      <a:ext cx="3657600" cy="3562350"/>
                    </a:xfrm>
                    <a:prstGeom prst="rect">
                      <a:avLst/>
                    </a:prstGeom>
                    <a:noFill/>
                    <a:ln w="9525">
                      <a:noFill/>
                    </a:ln>
                  </pic:spPr>
                </pic:pic>
              </a:graphicData>
            </a:graphic>
          </wp:inline>
        </w:drawing>
      </w:r>
      <w:r>
        <w:t>　 </w:t>
      </w:r>
    </w:p>
    <w:p>
      <w:pPr>
        <w:pStyle w:val="2"/>
        <w:keepNext w:val="0"/>
        <w:keepLines w:val="0"/>
        <w:widowControl/>
        <w:suppressLineNumbers w:val="0"/>
      </w:pPr>
      <w:r>
        <w:t>　　4、公共资源配置信息公开情况</w:t>
      </w:r>
    </w:p>
    <w:p>
      <w:pPr>
        <w:pStyle w:val="2"/>
        <w:keepNext w:val="0"/>
        <w:keepLines w:val="0"/>
        <w:widowControl/>
        <w:suppressLineNumbers w:val="0"/>
      </w:pPr>
      <w:r>
        <w:t>　　一是规范公开土地使用权登记、矿产开发、建设用地审批等信息。市国土资源局网站共主动公开土地登记结果信息30批次，发布土地征收公告59次并同时公开了相应补偿安置方案，发布建设用地审批结果14批次，发布矿产类招标、拍卖、挂牌出让通知公告13次。</w:t>
      </w:r>
    </w:p>
    <w:p>
      <w:pPr>
        <w:pStyle w:val="2"/>
        <w:keepNext w:val="0"/>
        <w:keepLines w:val="0"/>
        <w:widowControl/>
        <w:suppressLineNumbers w:val="0"/>
        <w:jc w:val="center"/>
      </w:pPr>
      <w:r>
        <w:drawing>
          <wp:inline distT="0" distB="0" distL="114300" distR="114300">
            <wp:extent cx="4238625" cy="3038475"/>
            <wp:effectExtent l="0" t="0" r="9525" b="9525"/>
            <wp:docPr id="16"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71"/>
                    <pic:cNvPicPr>
                      <a:picLocks noChangeAspect="1"/>
                    </pic:cNvPicPr>
                  </pic:nvPicPr>
                  <pic:blipFill>
                    <a:blip r:embed="rId19"/>
                    <a:stretch>
                      <a:fillRect/>
                    </a:stretch>
                  </pic:blipFill>
                  <pic:spPr>
                    <a:xfrm>
                      <a:off x="0" y="0"/>
                      <a:ext cx="4238625" cy="3038475"/>
                    </a:xfrm>
                    <a:prstGeom prst="rect">
                      <a:avLst/>
                    </a:prstGeom>
                    <a:noFill/>
                    <a:ln w="9525">
                      <a:noFill/>
                    </a:ln>
                  </pic:spPr>
                </pic:pic>
              </a:graphicData>
            </a:graphic>
          </wp:inline>
        </w:drawing>
      </w:r>
    </w:p>
    <w:p>
      <w:pPr>
        <w:pStyle w:val="2"/>
        <w:keepNext w:val="0"/>
        <w:keepLines w:val="0"/>
        <w:widowControl/>
        <w:suppressLineNumbers w:val="0"/>
      </w:pPr>
      <w:r>
        <w:t>　　二是做好农村土地承包经营权流转信息公开。2014年，市政府公开了《淄博市农村土地承包经营权流转管理办法(试行)》、《淄博市农村土地承包经营权价值评估办法（试行）》、《淄博市农村土地承包经营权抵押融资管理办法（试行）等涉及农村土地流转的政策文件。同时，全市所有镇（办）在农村“三资”委托代理服务中心设立了土地流转服务窗口，负责提供有关法律政策咨询、流转信息、流转咨询、价格评估、合同签订指导、利益关系协调、纠纷调处等服务。</w:t>
      </w:r>
    </w:p>
    <w:p>
      <w:pPr>
        <w:pStyle w:val="2"/>
        <w:keepNext w:val="0"/>
        <w:keepLines w:val="0"/>
        <w:widowControl/>
        <w:suppressLineNumbers w:val="0"/>
      </w:pPr>
      <w:r>
        <w:t>　　三是深化国有土地上房屋征收与补偿信息公开。市房管局网站公开了国有土地上房屋征收搬迁补偿费、临时安置补偿费、停产停业损失补偿费、一次性安置补偿费等补偿标准及价格评估机构名录；在征收范围内公开了房屋征收决定、补助奖励政策和标准；向被征收人公开了征收房屋调查结果、初步评估结果、补偿情况，实现了阳光征收。</w:t>
      </w:r>
    </w:p>
    <w:p>
      <w:pPr>
        <w:pStyle w:val="2"/>
        <w:keepNext w:val="0"/>
        <w:keepLines w:val="0"/>
        <w:widowControl/>
        <w:suppressLineNumbers w:val="0"/>
      </w:pPr>
      <w:r>
        <w:t>　　四是继续推进保障性住房信息公开。市房管局网站公开了各类保障性住房政策，以方便市民查询申请条件及程序；公开了《2014年保障性安居工程新开工项目清单》、《2014年各区县城镇保障性安居工程建设目标任务》等项目建设信息，以方便市民提前知情选择；全年共公示经适房申购家庭20批、廉租房货币补贴申请家庭16批、各类保障性住房分配结果及退出信息60批。各区县对限价房申购家庭进行了公示公开。</w:t>
      </w:r>
    </w:p>
    <w:p>
      <w:pPr>
        <w:pStyle w:val="2"/>
        <w:keepNext w:val="0"/>
        <w:keepLines w:val="0"/>
        <w:widowControl/>
        <w:suppressLineNumbers w:val="0"/>
        <w:jc w:val="center"/>
      </w:pPr>
      <w:r>
        <w:drawing>
          <wp:inline distT="0" distB="0" distL="114300" distR="114300">
            <wp:extent cx="5238750" cy="3352800"/>
            <wp:effectExtent l="0" t="0" r="0" b="0"/>
            <wp:docPr id="17"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72"/>
                    <pic:cNvPicPr>
                      <a:picLocks noChangeAspect="1"/>
                    </pic:cNvPicPr>
                  </pic:nvPicPr>
                  <pic:blipFill>
                    <a:blip r:embed="rId20"/>
                    <a:stretch>
                      <a:fillRect/>
                    </a:stretch>
                  </pic:blipFill>
                  <pic:spPr>
                    <a:xfrm>
                      <a:off x="0" y="0"/>
                      <a:ext cx="5238750" cy="3352800"/>
                    </a:xfrm>
                    <a:prstGeom prst="rect">
                      <a:avLst/>
                    </a:prstGeom>
                    <a:noFill/>
                    <a:ln w="9525">
                      <a:noFill/>
                    </a:ln>
                  </pic:spPr>
                </pic:pic>
              </a:graphicData>
            </a:graphic>
          </wp:inline>
        </w:drawing>
      </w:r>
    </w:p>
    <w:p>
      <w:pPr>
        <w:pStyle w:val="2"/>
        <w:keepNext w:val="0"/>
        <w:keepLines w:val="0"/>
        <w:widowControl/>
        <w:suppressLineNumbers w:val="0"/>
      </w:pPr>
      <w:r>
        <w:t>　　五是加强政府采购信息公开。淄博市每年编制《市级政府集中采购目录》并在淄博政府采购网公布，市级及区县政府采购招标公告及中标成交结果均及时规范上网发布。2014年，通过淄博政府采购网共发布市级招标公告436个，成交结果公告294个；区县招标公告1065个，成交结果公告963个。</w:t>
      </w:r>
    </w:p>
    <w:p>
      <w:pPr>
        <w:pStyle w:val="2"/>
        <w:keepNext w:val="0"/>
        <w:keepLines w:val="0"/>
        <w:widowControl/>
        <w:suppressLineNumbers w:val="0"/>
        <w:jc w:val="center"/>
      </w:pPr>
      <w:r>
        <w:drawing>
          <wp:inline distT="0" distB="0" distL="114300" distR="114300">
            <wp:extent cx="4000500" cy="2743200"/>
            <wp:effectExtent l="0" t="0" r="0" b="0"/>
            <wp:docPr id="18"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73"/>
                    <pic:cNvPicPr>
                      <a:picLocks noChangeAspect="1"/>
                    </pic:cNvPicPr>
                  </pic:nvPicPr>
                  <pic:blipFill>
                    <a:blip r:embed="rId21"/>
                    <a:stretch>
                      <a:fillRect/>
                    </a:stretch>
                  </pic:blipFill>
                  <pic:spPr>
                    <a:xfrm>
                      <a:off x="0" y="0"/>
                      <a:ext cx="4000500" cy="2743200"/>
                    </a:xfrm>
                    <a:prstGeom prst="rect">
                      <a:avLst/>
                    </a:prstGeom>
                    <a:noFill/>
                    <a:ln w="9525">
                      <a:noFill/>
                    </a:ln>
                  </pic:spPr>
                </pic:pic>
              </a:graphicData>
            </a:graphic>
          </wp:inline>
        </w:drawing>
      </w:r>
      <w:r>
        <w:t>  </w:t>
      </w:r>
    </w:p>
    <w:p>
      <w:pPr>
        <w:pStyle w:val="2"/>
        <w:keepNext w:val="0"/>
        <w:keepLines w:val="0"/>
        <w:widowControl/>
        <w:suppressLineNumbers w:val="0"/>
      </w:pPr>
      <w:r>
        <w:t>　　六是推进工程建设项目信息公开。通过淄博市建筑管理信息网、淄博市工程建设领域项目信息和信用信息公开共享网对全市工程建设项目信息进行集中公开，内容包括项目名称、项目概况、投资规模、建设单位、立项批准机关、批准文号、批准时间、招标公告、中标公示等信息。2014年，共公开650个工程建设项目的相关信息。</w:t>
      </w:r>
    </w:p>
    <w:p>
      <w:pPr>
        <w:pStyle w:val="2"/>
        <w:keepNext w:val="0"/>
        <w:keepLines w:val="0"/>
        <w:widowControl/>
        <w:suppressLineNumbers w:val="0"/>
      </w:pPr>
      <w:r>
        <w:t>　　5、公共服务信息公开情况</w:t>
      </w:r>
    </w:p>
    <w:p>
      <w:pPr>
        <w:pStyle w:val="2"/>
        <w:keepNext w:val="0"/>
        <w:keepLines w:val="0"/>
        <w:widowControl/>
        <w:suppressLineNumbers w:val="0"/>
      </w:pPr>
      <w:r>
        <w:t>　　一是做好招生信息和高校预决算信息公开。市属4所高校通过学校网站及时将由省教育厅审核、教育部备案的招生章程、招生计划、招生政策等进行了公开，其中包括各类特殊类型招生如“3+2”专本对口贯通分段培养招生计划、单独招生计划、高等职业教育与技师教育合作培养试点招生信息等。同时，还与市级部门同步公开了预算决算信息。淄博市高中段招生政策均在淄博教育信息网公开并配有详细解读，所有艺体特长生的艺体测试结果除在招生学校进行张榜公布外，还可通过全市中考招生平台进行查询。</w:t>
      </w:r>
    </w:p>
    <w:p>
      <w:pPr>
        <w:pStyle w:val="2"/>
        <w:keepNext w:val="0"/>
        <w:keepLines w:val="0"/>
        <w:widowControl/>
        <w:suppressLineNumbers w:val="0"/>
        <w:jc w:val="center"/>
      </w:pPr>
      <w:r>
        <w:drawing>
          <wp:inline distT="0" distB="0" distL="114300" distR="114300">
            <wp:extent cx="5286375" cy="2628900"/>
            <wp:effectExtent l="0" t="0" r="9525" b="0"/>
            <wp:docPr id="19"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74"/>
                    <pic:cNvPicPr>
                      <a:picLocks noChangeAspect="1"/>
                    </pic:cNvPicPr>
                  </pic:nvPicPr>
                  <pic:blipFill>
                    <a:blip r:embed="rId22"/>
                    <a:stretch>
                      <a:fillRect/>
                    </a:stretch>
                  </pic:blipFill>
                  <pic:spPr>
                    <a:xfrm>
                      <a:off x="0" y="0"/>
                      <a:ext cx="5286375" cy="2628900"/>
                    </a:xfrm>
                    <a:prstGeom prst="rect">
                      <a:avLst/>
                    </a:prstGeom>
                    <a:noFill/>
                    <a:ln w="9525">
                      <a:noFill/>
                    </a:ln>
                  </pic:spPr>
                </pic:pic>
              </a:graphicData>
            </a:graphic>
          </wp:inline>
        </w:drawing>
      </w:r>
    </w:p>
    <w:p>
      <w:pPr>
        <w:pStyle w:val="2"/>
        <w:keepNext w:val="0"/>
        <w:keepLines w:val="0"/>
        <w:widowControl/>
        <w:suppressLineNumbers w:val="0"/>
        <w:jc w:val="left"/>
      </w:pPr>
      <w:r>
        <w:t>　　二是推动科技管理和项目经费信息公开。市科技局网站发布了《2014－2015年淄博市科学技术发展计划申报指南》、《2014年市创新发展重点项目计划申报说明》、《2014年淄博市科学技术奖形式审查结果公示》、《2014年市科技发展计划拟立项项目公示》、《2014年度山东省中小企业创业补助创新奖励资金拟立项项目公示（科技类）》等信息，对科技项目的申报、评审立项、资金安排等情况进行了公开。</w:t>
      </w:r>
    </w:p>
    <w:p>
      <w:pPr>
        <w:pStyle w:val="2"/>
        <w:keepNext w:val="0"/>
        <w:keepLines w:val="0"/>
        <w:widowControl/>
        <w:suppressLineNumbers w:val="0"/>
      </w:pPr>
      <w:r>
        <w:t>　  三是做好医疗卫生领域信息公开。淄博卫生网站公开了医疗机构的设置情况；市物价局网站公开了医疗服务项目价格、非公立医疗机构医疗服务市场调节价格、公立医院改革试点单位医疗服务价格等医疗收费信息；市食药局网站及时公布了食品药品安全监管举措、专项治理开展情况以及从业资质资格许可公示等信息。</w:t>
      </w:r>
    </w:p>
    <w:p>
      <w:pPr>
        <w:pStyle w:val="2"/>
        <w:keepNext w:val="0"/>
        <w:keepLines w:val="0"/>
        <w:widowControl/>
        <w:suppressLineNumbers w:val="0"/>
        <w:jc w:val="center"/>
      </w:pPr>
      <w:r>
        <w:drawing>
          <wp:inline distT="0" distB="0" distL="114300" distR="114300">
            <wp:extent cx="5162550" cy="3371850"/>
            <wp:effectExtent l="0" t="0" r="0" b="0"/>
            <wp:docPr id="20"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75"/>
                    <pic:cNvPicPr>
                      <a:picLocks noChangeAspect="1"/>
                    </pic:cNvPicPr>
                  </pic:nvPicPr>
                  <pic:blipFill>
                    <a:blip r:embed="rId23"/>
                    <a:stretch>
                      <a:fillRect/>
                    </a:stretch>
                  </pic:blipFill>
                  <pic:spPr>
                    <a:xfrm>
                      <a:off x="0" y="0"/>
                      <a:ext cx="5162550" cy="3371850"/>
                    </a:xfrm>
                    <a:prstGeom prst="rect">
                      <a:avLst/>
                    </a:prstGeom>
                    <a:noFill/>
                    <a:ln w="9525">
                      <a:noFill/>
                    </a:ln>
                  </pic:spPr>
                </pic:pic>
              </a:graphicData>
            </a:graphic>
          </wp:inline>
        </w:drawing>
      </w:r>
      <w:r>
        <w:t>  </w:t>
      </w:r>
    </w:p>
    <w:p>
      <w:pPr>
        <w:pStyle w:val="2"/>
        <w:keepNext w:val="0"/>
        <w:keepLines w:val="0"/>
        <w:widowControl/>
        <w:suppressLineNumbers w:val="0"/>
      </w:pPr>
      <w:r>
        <w:t>　　四是做好就业信息公开。市人力资源和社会保障局、市发改委网站公开了《淄博市加强就业培训提高就业与创业能力五年规划（2014-2018）》、《淄博市创业创新政策指南》、《淄博市支持创业创新扶持政策100问》、《关于做好淄博市一次性创业补贴和一次性创业岗位开发补贴发放工作的通知》等一系列就业政策信息。</w:t>
      </w:r>
    </w:p>
    <w:p>
      <w:pPr>
        <w:pStyle w:val="2"/>
        <w:keepNext w:val="0"/>
        <w:keepLines w:val="0"/>
        <w:widowControl/>
        <w:suppressLineNumbers w:val="0"/>
      </w:pPr>
      <w:r>
        <w:t>　　五是推进社会保障信息公开。市民政局网站公开了城乡低保申请条件、申请审批工作流程、城乡低保对象享受专项救助政策等信息。市人力资源和社会保障局网站公开了社会保险、医疗保险等社会保障政策信息，个人相关信息可以通过网站进行查询。</w:t>
      </w:r>
    </w:p>
    <w:p>
      <w:pPr>
        <w:pStyle w:val="2"/>
        <w:keepNext w:val="0"/>
        <w:keepLines w:val="0"/>
        <w:widowControl/>
        <w:suppressLineNumbers w:val="0"/>
      </w:pPr>
      <w:r>
        <w:t>　　6、公共监管信息公开情况</w:t>
      </w:r>
    </w:p>
    <w:p>
      <w:pPr>
        <w:pStyle w:val="2"/>
        <w:keepNext w:val="0"/>
        <w:keepLines w:val="0"/>
        <w:widowControl/>
        <w:suppressLineNumbers w:val="0"/>
      </w:pPr>
      <w:r>
        <w:t>　　一是做好环境信息公开。市环保局网站对城市环境空气质量状况、河流水质状况、省控以上企业监督监测等信息进行了日常公开，对环境违法案件和处罚等监管信息进行了及时公开，对环境评价信息进行了全程公开，对突发环境应急预案进行了全面公开。</w:t>
      </w:r>
    </w:p>
    <w:p>
      <w:pPr>
        <w:pStyle w:val="2"/>
        <w:keepNext w:val="0"/>
        <w:keepLines w:val="0"/>
        <w:widowControl/>
        <w:suppressLineNumbers w:val="0"/>
        <w:jc w:val="center"/>
      </w:pPr>
      <w:r>
        <w:drawing>
          <wp:inline distT="0" distB="0" distL="114300" distR="114300">
            <wp:extent cx="5295900" cy="1114425"/>
            <wp:effectExtent l="0" t="0" r="0" b="9525"/>
            <wp:docPr id="21"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276"/>
                    <pic:cNvPicPr>
                      <a:picLocks noChangeAspect="1"/>
                    </pic:cNvPicPr>
                  </pic:nvPicPr>
                  <pic:blipFill>
                    <a:blip r:embed="rId24"/>
                    <a:stretch>
                      <a:fillRect/>
                    </a:stretch>
                  </pic:blipFill>
                  <pic:spPr>
                    <a:xfrm>
                      <a:off x="0" y="0"/>
                      <a:ext cx="5295900" cy="1114425"/>
                    </a:xfrm>
                    <a:prstGeom prst="rect">
                      <a:avLst/>
                    </a:prstGeom>
                    <a:noFill/>
                    <a:ln w="9525">
                      <a:noFill/>
                    </a:ln>
                  </pic:spPr>
                </pic:pic>
              </a:graphicData>
            </a:graphic>
          </wp:inline>
        </w:drawing>
      </w:r>
      <w:r>
        <w:br w:type="textWrapping"/>
      </w:r>
      <w:r>
        <w:drawing>
          <wp:inline distT="0" distB="0" distL="114300" distR="114300">
            <wp:extent cx="5295900" cy="3181350"/>
            <wp:effectExtent l="0" t="0" r="0" b="0"/>
            <wp:docPr id="22"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77"/>
                    <pic:cNvPicPr>
                      <a:picLocks noChangeAspect="1"/>
                    </pic:cNvPicPr>
                  </pic:nvPicPr>
                  <pic:blipFill>
                    <a:blip r:embed="rId25"/>
                    <a:stretch>
                      <a:fillRect/>
                    </a:stretch>
                  </pic:blipFill>
                  <pic:spPr>
                    <a:xfrm>
                      <a:off x="0" y="0"/>
                      <a:ext cx="5295900" cy="3181350"/>
                    </a:xfrm>
                    <a:prstGeom prst="rect">
                      <a:avLst/>
                    </a:prstGeom>
                    <a:noFill/>
                    <a:ln w="9525">
                      <a:noFill/>
                    </a:ln>
                  </pic:spPr>
                </pic:pic>
              </a:graphicData>
            </a:graphic>
          </wp:inline>
        </w:drawing>
      </w:r>
      <w:r>
        <w:t> </w:t>
      </w:r>
    </w:p>
    <w:p>
      <w:pPr>
        <w:pStyle w:val="2"/>
        <w:keepNext w:val="0"/>
        <w:keepLines w:val="0"/>
        <w:widowControl/>
        <w:suppressLineNumbers w:val="0"/>
      </w:pPr>
      <w:r>
        <w:t>　　二是做好安全生产事故信息公开。市安监局建立了预警预防信息发布和事故应急处置救援信息公开机制，通过安全监管物联网将雷电、雨量等实时信息及时发送给相关矿山、危化品企业，并将事故应急处置救援信息及时通过新闻媒体向社会公众进行了公开。</w:t>
      </w:r>
    </w:p>
    <w:p>
      <w:pPr>
        <w:pStyle w:val="2"/>
        <w:keepNext w:val="0"/>
        <w:keepLines w:val="0"/>
        <w:widowControl/>
        <w:suppressLineNumbers w:val="0"/>
      </w:pPr>
      <w:r>
        <w:t>　　三是深入推进食品药品安全信息公开。市食药局网站及时公开了食品药品监管方面的规范、规定，其中药品经营、医疗器械经营、执业药师注册等许可信息做到了常规公示，食品药品安全专项整治工作信息做到了及时公示。如及时向社会公布群众高度关注的上海福喜食品有限公司问题食品查处情况，消除了公众担心。年内市食药局两次召开全市食品安全工作新闻发布会，向社会公布了食品安全执法检查和违法违规案件的查处情况。</w:t>
      </w:r>
    </w:p>
    <w:p>
      <w:pPr>
        <w:pStyle w:val="2"/>
        <w:keepNext w:val="0"/>
        <w:keepLines w:val="0"/>
        <w:widowControl/>
        <w:suppressLineNumbers w:val="0"/>
        <w:jc w:val="center"/>
      </w:pPr>
      <w:r>
        <w:drawing>
          <wp:inline distT="0" distB="0" distL="114300" distR="114300">
            <wp:extent cx="4371975" cy="2181225"/>
            <wp:effectExtent l="0" t="0" r="9525" b="9525"/>
            <wp:docPr id="23"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278"/>
                    <pic:cNvPicPr>
                      <a:picLocks noChangeAspect="1"/>
                    </pic:cNvPicPr>
                  </pic:nvPicPr>
                  <pic:blipFill>
                    <a:blip r:embed="rId26"/>
                    <a:stretch>
                      <a:fillRect/>
                    </a:stretch>
                  </pic:blipFill>
                  <pic:spPr>
                    <a:xfrm>
                      <a:off x="0" y="0"/>
                      <a:ext cx="4371975" cy="2181225"/>
                    </a:xfrm>
                    <a:prstGeom prst="rect">
                      <a:avLst/>
                    </a:prstGeom>
                    <a:noFill/>
                    <a:ln w="9525">
                      <a:noFill/>
                    </a:ln>
                  </pic:spPr>
                </pic:pic>
              </a:graphicData>
            </a:graphic>
          </wp:inline>
        </w:drawing>
      </w:r>
      <w:r>
        <w:t>  </w:t>
      </w:r>
    </w:p>
    <w:p>
      <w:pPr>
        <w:pStyle w:val="2"/>
        <w:keepNext w:val="0"/>
        <w:keepLines w:val="0"/>
        <w:widowControl/>
        <w:suppressLineNumbers w:val="0"/>
      </w:pPr>
      <w:r>
        <w:t>　　（三）《条例》实施前形成的政府信息的清理公开情况</w:t>
      </w:r>
    </w:p>
    <w:p>
      <w:pPr>
        <w:pStyle w:val="2"/>
        <w:keepNext w:val="0"/>
        <w:keepLines w:val="0"/>
        <w:widowControl/>
        <w:suppressLineNumbers w:val="0"/>
      </w:pPr>
      <w:r>
        <w:t>　　2014年，全市全面完成《条例》实施前形成、尚未移交国家档案馆的现行有效的规范性文件的清理公开工作。</w:t>
      </w:r>
    </w:p>
    <w:p>
      <w:pPr>
        <w:pStyle w:val="2"/>
        <w:keepNext w:val="0"/>
        <w:keepLines w:val="0"/>
        <w:widowControl/>
        <w:suppressLineNumbers w:val="0"/>
      </w:pPr>
      <w:r>
        <w:t>　　</w:t>
      </w:r>
      <w:r>
        <w:rPr>
          <w:rStyle w:val="5"/>
        </w:rPr>
        <w:t>四、依申请公开情况</w:t>
      </w:r>
    </w:p>
    <w:p>
      <w:pPr>
        <w:pStyle w:val="2"/>
        <w:keepNext w:val="0"/>
        <w:keepLines w:val="0"/>
        <w:widowControl/>
        <w:suppressLineNumbers w:val="0"/>
      </w:pPr>
      <w:r>
        <w:t>　　（一）收到申请情况</w:t>
      </w:r>
    </w:p>
    <w:p>
      <w:pPr>
        <w:pStyle w:val="2"/>
        <w:keepNext w:val="0"/>
        <w:keepLines w:val="0"/>
        <w:widowControl/>
        <w:suppressLineNumbers w:val="0"/>
      </w:pPr>
      <w:r>
        <w:t>　　2014年，全市各级各部门共收到政府信息公开申请288件，较上年增加174%。其中：市政府及其部门138件，较上年增加53%；区县政府及以下150件，较上年增加900%。</w:t>
      </w:r>
    </w:p>
    <w:p>
      <w:pPr>
        <w:pStyle w:val="2"/>
        <w:keepNext w:val="0"/>
        <w:keepLines w:val="0"/>
        <w:widowControl/>
        <w:suppressLineNumbers w:val="0"/>
      </w:pPr>
      <w:r>
        <w:t>　　市政府工作部门中申请量列前5位的是市住房和城乡建设局、市国土资源局、市规划局、市住房公积金管理中心、市环保局。区县中申请量列前5位的是临淄区、张店区、博山区、周村区、文昌湖区。申请内容主要涉及土地征收、房屋征收、补偿安置、城乡规划等方面。</w:t>
      </w:r>
    </w:p>
    <w:p>
      <w:pPr>
        <w:pStyle w:val="2"/>
        <w:keepNext w:val="0"/>
        <w:keepLines w:val="0"/>
        <w:widowControl/>
        <w:suppressLineNumbers w:val="0"/>
        <w:jc w:val="center"/>
      </w:pPr>
      <w:r>
        <w:drawing>
          <wp:inline distT="0" distB="0" distL="114300" distR="114300">
            <wp:extent cx="5067300" cy="1943100"/>
            <wp:effectExtent l="0" t="0" r="0" b="0"/>
            <wp:docPr id="24"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279"/>
                    <pic:cNvPicPr>
                      <a:picLocks noChangeAspect="1"/>
                    </pic:cNvPicPr>
                  </pic:nvPicPr>
                  <pic:blipFill>
                    <a:blip r:embed="rId27"/>
                    <a:stretch>
                      <a:fillRect/>
                    </a:stretch>
                  </pic:blipFill>
                  <pic:spPr>
                    <a:xfrm>
                      <a:off x="0" y="0"/>
                      <a:ext cx="5067300" cy="1943100"/>
                    </a:xfrm>
                    <a:prstGeom prst="rect">
                      <a:avLst/>
                    </a:prstGeom>
                    <a:noFill/>
                    <a:ln w="9525">
                      <a:noFill/>
                    </a:ln>
                  </pic:spPr>
                </pic:pic>
              </a:graphicData>
            </a:graphic>
          </wp:inline>
        </w:drawing>
      </w:r>
    </w:p>
    <w:p>
      <w:pPr>
        <w:pStyle w:val="2"/>
        <w:keepNext w:val="0"/>
        <w:keepLines w:val="0"/>
        <w:widowControl/>
        <w:suppressLineNumbers w:val="0"/>
      </w:pPr>
      <w:r>
        <w:t>　　（二）申请处理情况</w:t>
      </w:r>
    </w:p>
    <w:p>
      <w:pPr>
        <w:pStyle w:val="2"/>
        <w:keepNext w:val="0"/>
        <w:keepLines w:val="0"/>
        <w:widowControl/>
        <w:suppressLineNumbers w:val="0"/>
      </w:pPr>
      <w:r>
        <w:t>　　收到的288件信息公开申请已全部办理答复，其中按时办结283件，延期办结5件。答复属于已主动公开范围的60件，同意公开的111件，同意部分公开的20件，不同意公开的15件，不属于本机关公开的45件，信息不存在的25件，告知作出更改补充的7件，告知通过其他途径办理的5件。不同意公开的15件中，涉及国家秘密的2件，涉及个人隐私的12件，法律法规规定的其他情形1件。</w:t>
      </w:r>
    </w:p>
    <w:p>
      <w:pPr>
        <w:pStyle w:val="2"/>
        <w:keepNext w:val="0"/>
        <w:keepLines w:val="0"/>
        <w:widowControl/>
        <w:suppressLineNumbers w:val="0"/>
        <w:jc w:val="center"/>
      </w:pPr>
      <w:r>
        <w:drawing>
          <wp:inline distT="0" distB="0" distL="114300" distR="114300">
            <wp:extent cx="5172075" cy="3181350"/>
            <wp:effectExtent l="0" t="0" r="0" b="0"/>
            <wp:docPr id="25"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IMG_280"/>
                    <pic:cNvPicPr>
                      <a:picLocks noChangeAspect="1"/>
                    </pic:cNvPicPr>
                  </pic:nvPicPr>
                  <pic:blipFill>
                    <a:blip r:embed="rId28"/>
                    <a:stretch>
                      <a:fillRect/>
                    </a:stretch>
                  </pic:blipFill>
                  <pic:spPr>
                    <a:xfrm>
                      <a:off x="0" y="0"/>
                      <a:ext cx="5172075" cy="3181350"/>
                    </a:xfrm>
                    <a:prstGeom prst="rect">
                      <a:avLst/>
                    </a:prstGeom>
                    <a:noFill/>
                    <a:ln w="9525">
                      <a:noFill/>
                    </a:ln>
                  </pic:spPr>
                </pic:pic>
              </a:graphicData>
            </a:graphic>
          </wp:inline>
        </w:drawing>
      </w:r>
    </w:p>
    <w:p>
      <w:pPr>
        <w:pStyle w:val="2"/>
        <w:keepNext w:val="0"/>
        <w:keepLines w:val="0"/>
        <w:widowControl/>
        <w:suppressLineNumbers w:val="0"/>
      </w:pPr>
      <w:r>
        <w:t>　　（三）收费及减免情况</w:t>
      </w:r>
    </w:p>
    <w:p>
      <w:pPr>
        <w:pStyle w:val="2"/>
        <w:keepNext w:val="0"/>
        <w:keepLines w:val="0"/>
        <w:widowControl/>
        <w:suppressLineNumbers w:val="0"/>
      </w:pPr>
      <w:r>
        <w:t>　　我市在政府信息公开申请办理过程中，未收取任何费用。</w:t>
      </w:r>
    </w:p>
    <w:p>
      <w:pPr>
        <w:pStyle w:val="2"/>
        <w:keepNext w:val="0"/>
        <w:keepLines w:val="0"/>
        <w:widowControl/>
        <w:suppressLineNumbers w:val="0"/>
      </w:pPr>
      <w:r>
        <w:t>　　</w:t>
      </w:r>
      <w:r>
        <w:rPr>
          <w:rStyle w:val="5"/>
        </w:rPr>
        <w:t>五、复议、诉讼和举报情况</w:t>
      </w:r>
    </w:p>
    <w:p>
      <w:pPr>
        <w:pStyle w:val="2"/>
        <w:keepNext w:val="0"/>
        <w:keepLines w:val="0"/>
        <w:widowControl/>
        <w:suppressLineNumbers w:val="0"/>
      </w:pPr>
      <w:r>
        <w:t>　　2014年，全市因政府信息公开引发行政复议案件6件，复议结果维持具体行政行为3件，纠错1件，其他情形2件；因政府信息公开引发行政诉讼案件11起，审判结果维持具体行政行为或驳回原告诉讼请求的6件，被依法纠错0件，其他情形5件；因政府信息公开被举报0起。</w:t>
      </w:r>
    </w:p>
    <w:p>
      <w:pPr>
        <w:pStyle w:val="2"/>
        <w:keepNext w:val="0"/>
        <w:keepLines w:val="0"/>
        <w:widowControl/>
        <w:suppressLineNumbers w:val="0"/>
      </w:pPr>
      <w:r>
        <w:t>　　</w:t>
      </w:r>
      <w:r>
        <w:rPr>
          <w:rStyle w:val="5"/>
        </w:rPr>
        <w:t>六、存在的不足及改进措施</w:t>
      </w:r>
    </w:p>
    <w:p>
      <w:pPr>
        <w:pStyle w:val="2"/>
        <w:keepNext w:val="0"/>
        <w:keepLines w:val="0"/>
        <w:widowControl/>
        <w:suppressLineNumbers w:val="0"/>
      </w:pPr>
      <w:r>
        <w:t>　　2014年我市政府信息公开工作存在的不足主要是：推进重点领域信息公开的力度需要加大；区县、部门之间工作不平衡，有些比较薄弱；政策解读工作机制还需完善；信息资源的整合分类服务水平需要提高。</w:t>
      </w:r>
    </w:p>
    <w:p>
      <w:pPr>
        <w:pStyle w:val="2"/>
        <w:keepNext w:val="0"/>
        <w:keepLines w:val="0"/>
        <w:widowControl/>
        <w:suppressLineNumbers w:val="0"/>
      </w:pPr>
      <w:r>
        <w:t>    2015年我市将重点做好以下工作：一是加强宣传培训。通过宣传，使全市各级切实从依法行政和推进民主政治建设的高度来认识政府信息公开工作，增强做好公开工作的自觉性和主动性。通过培训，提升各级工作人员的业务能力和工作水平，增强全市政府信息公开工作的合力。二是继续推进重点领域信息公开。加强对重点部门的调度督促，做好重大行政决策、行政权力运行、公共资金使用、公共资源配置、公共监管、公共服务信息公开工作。三是做好依申请公开工作。优化流程，认真办理公开申请，做到依法及时答复，努力预防和减少行政复议和诉讼案件发生。四是加强对信息资源的梳理整合。按照分类清晰、方便查阅的原则，对政府网站信息公开系统进行优化，提高专题信息的整合服务水平。五是加大督查考核力度。拓展督查方式，强化督查手段，形成有效的监督约束机制。研究修订全市政府信息公开考核细则，探索引入社会评价机制。</w:t>
      </w:r>
    </w:p>
    <w:p>
      <w:pPr>
        <w:pStyle w:val="2"/>
        <w:keepNext w:val="0"/>
        <w:keepLines w:val="0"/>
        <w:widowControl/>
        <w:suppressLineNumbers w:val="0"/>
      </w:pPr>
      <w:r>
        <w:t>　　附：2014年度政府信息公开工作情况统计表</w:t>
      </w:r>
    </w:p>
    <w:p>
      <w:pPr>
        <w:pStyle w:val="2"/>
        <w:keepNext w:val="0"/>
        <w:keepLines w:val="0"/>
        <w:widowControl/>
        <w:suppressLineNumbers w:val="0"/>
        <w:jc w:val="center"/>
      </w:pPr>
      <w:r>
        <w:t>　　</w:t>
      </w:r>
    </w:p>
    <w:p>
      <w:pPr>
        <w:pStyle w:val="2"/>
        <w:keepNext w:val="0"/>
        <w:keepLines w:val="0"/>
        <w:widowControl/>
        <w:suppressLineNumbers w:val="0"/>
        <w:jc w:val="center"/>
      </w:pPr>
      <w:r>
        <w:rPr>
          <w:rStyle w:val="5"/>
        </w:rPr>
        <w:t>2014年度政府信息公开工作情况统计表</w:t>
      </w:r>
    </w:p>
    <w:p>
      <w:pPr>
        <w:pStyle w:val="2"/>
        <w:keepNext w:val="0"/>
        <w:keepLines w:val="0"/>
        <w:widowControl/>
        <w:suppressLineNumbers w:val="0"/>
        <w:jc w:val="center"/>
      </w:pPr>
      <w:r>
        <w:t> </w:t>
      </w:r>
    </w:p>
    <w:tbl>
      <w:tblPr>
        <w:tblW w:w="0" w:type="auto"/>
        <w:jc w:val="center"/>
        <w:tblCellSpacing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5850"/>
        <w:gridCol w:w="1215"/>
        <w:gridCol w:w="133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统　计　指　标</w:t>
            </w:r>
          </w:p>
        </w:tc>
        <w:tc>
          <w:tcPr>
            <w:tcW w:w="1185" w:type="dxa"/>
            <w:shd w:val="clear"/>
            <w:vAlign w:val="top"/>
          </w:tcPr>
          <w:p>
            <w:pPr>
              <w:pStyle w:val="2"/>
              <w:keepNext w:val="0"/>
              <w:keepLines w:val="0"/>
              <w:widowControl/>
              <w:suppressLineNumbers w:val="0"/>
            </w:pPr>
            <w:r>
              <w:t>　　单位</w:t>
            </w:r>
          </w:p>
        </w:tc>
        <w:tc>
          <w:tcPr>
            <w:tcW w:w="1290" w:type="dxa"/>
            <w:shd w:val="clear"/>
            <w:vAlign w:val="top"/>
          </w:tcPr>
          <w:p>
            <w:pPr>
              <w:pStyle w:val="2"/>
              <w:keepNext w:val="0"/>
              <w:keepLines w:val="0"/>
              <w:widowControl/>
              <w:suppressLineNumbers w:val="0"/>
            </w:pPr>
            <w:r>
              <w:t>　　统计数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一、主动公开情况</w:t>
            </w:r>
          </w:p>
        </w:tc>
        <w:tc>
          <w:tcPr>
            <w:tcW w:w="1185"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c>
          <w:tcPr>
            <w:tcW w:w="1290"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（一）主动公开政府信息数（不同渠道和方式公开相同信息计1条）</w:t>
            </w:r>
          </w:p>
        </w:tc>
        <w:tc>
          <w:tcPr>
            <w:tcW w:w="1185" w:type="dxa"/>
            <w:shd w:val="clear"/>
            <w:vAlign w:val="top"/>
          </w:tcPr>
          <w:p>
            <w:pPr>
              <w:pStyle w:val="2"/>
              <w:keepNext w:val="0"/>
              <w:keepLines w:val="0"/>
              <w:widowControl/>
              <w:suppressLineNumbers w:val="0"/>
            </w:pPr>
            <w:r>
              <w:t>　　条</w:t>
            </w:r>
          </w:p>
        </w:tc>
        <w:tc>
          <w:tcPr>
            <w:tcW w:w="1290" w:type="dxa"/>
            <w:shd w:val="clear"/>
            <w:vAlign w:val="top"/>
          </w:tcPr>
          <w:p>
            <w:pPr>
              <w:pStyle w:val="2"/>
              <w:keepNext w:val="0"/>
              <w:keepLines w:val="0"/>
              <w:widowControl/>
              <w:suppressLineNumbers w:val="0"/>
            </w:pPr>
            <w:r>
              <w:t>　　69450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其中：主动公开规范性文件数</w:t>
            </w:r>
          </w:p>
        </w:tc>
        <w:tc>
          <w:tcPr>
            <w:tcW w:w="1185" w:type="dxa"/>
            <w:shd w:val="clear"/>
            <w:vAlign w:val="top"/>
          </w:tcPr>
          <w:p>
            <w:pPr>
              <w:pStyle w:val="2"/>
              <w:keepNext w:val="0"/>
              <w:keepLines w:val="0"/>
              <w:widowControl/>
              <w:suppressLineNumbers w:val="0"/>
            </w:pPr>
            <w:r>
              <w:t>　　条</w:t>
            </w:r>
          </w:p>
        </w:tc>
        <w:tc>
          <w:tcPr>
            <w:tcW w:w="1290" w:type="dxa"/>
            <w:shd w:val="clear"/>
            <w:vAlign w:val="top"/>
          </w:tcPr>
          <w:p>
            <w:pPr>
              <w:pStyle w:val="2"/>
              <w:keepNext w:val="0"/>
              <w:keepLines w:val="0"/>
              <w:widowControl/>
              <w:suppressLineNumbers w:val="0"/>
            </w:pPr>
            <w:r>
              <w:t>　　165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制发规范性文件总数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165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（二）通过不同渠道和方式公开政府信息的情况</w:t>
            </w:r>
          </w:p>
        </w:tc>
        <w:tc>
          <w:tcPr>
            <w:tcW w:w="1185"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c>
          <w:tcPr>
            <w:tcW w:w="1290"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1.政府公报公开政府信息数</w:t>
            </w:r>
          </w:p>
        </w:tc>
        <w:tc>
          <w:tcPr>
            <w:tcW w:w="1185" w:type="dxa"/>
            <w:shd w:val="clear"/>
            <w:vAlign w:val="top"/>
          </w:tcPr>
          <w:p>
            <w:pPr>
              <w:pStyle w:val="2"/>
              <w:keepNext w:val="0"/>
              <w:keepLines w:val="0"/>
              <w:widowControl/>
              <w:suppressLineNumbers w:val="0"/>
            </w:pPr>
            <w:r>
              <w:t>　　条</w:t>
            </w:r>
          </w:p>
        </w:tc>
        <w:tc>
          <w:tcPr>
            <w:tcW w:w="1290" w:type="dxa"/>
            <w:shd w:val="clear"/>
            <w:vAlign w:val="top"/>
          </w:tcPr>
          <w:p>
            <w:pPr>
              <w:pStyle w:val="2"/>
              <w:keepNext w:val="0"/>
              <w:keepLines w:val="0"/>
              <w:widowControl/>
              <w:suppressLineNumbers w:val="0"/>
            </w:pPr>
            <w:r>
              <w:t>　　1856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2.政府网站公开政府信息数</w:t>
            </w:r>
          </w:p>
        </w:tc>
        <w:tc>
          <w:tcPr>
            <w:tcW w:w="1185" w:type="dxa"/>
            <w:shd w:val="clear"/>
            <w:vAlign w:val="top"/>
          </w:tcPr>
          <w:p>
            <w:pPr>
              <w:pStyle w:val="2"/>
              <w:keepNext w:val="0"/>
              <w:keepLines w:val="0"/>
              <w:widowControl/>
              <w:suppressLineNumbers w:val="0"/>
            </w:pPr>
            <w:r>
              <w:t>　　条</w:t>
            </w:r>
          </w:p>
        </w:tc>
        <w:tc>
          <w:tcPr>
            <w:tcW w:w="1290" w:type="dxa"/>
            <w:shd w:val="clear"/>
            <w:vAlign w:val="top"/>
          </w:tcPr>
          <w:p>
            <w:pPr>
              <w:pStyle w:val="2"/>
              <w:keepNext w:val="0"/>
              <w:keepLines w:val="0"/>
              <w:widowControl/>
              <w:suppressLineNumbers w:val="0"/>
            </w:pPr>
            <w:r>
              <w:t>　　42155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3.政务微博公开政府信息数</w:t>
            </w:r>
          </w:p>
        </w:tc>
        <w:tc>
          <w:tcPr>
            <w:tcW w:w="1185" w:type="dxa"/>
            <w:shd w:val="clear"/>
            <w:vAlign w:val="top"/>
          </w:tcPr>
          <w:p>
            <w:pPr>
              <w:pStyle w:val="2"/>
              <w:keepNext w:val="0"/>
              <w:keepLines w:val="0"/>
              <w:widowControl/>
              <w:suppressLineNumbers w:val="0"/>
            </w:pPr>
            <w:r>
              <w:t>　　条</w:t>
            </w:r>
          </w:p>
        </w:tc>
        <w:tc>
          <w:tcPr>
            <w:tcW w:w="1290" w:type="dxa"/>
            <w:shd w:val="clear"/>
            <w:vAlign w:val="top"/>
          </w:tcPr>
          <w:p>
            <w:pPr>
              <w:pStyle w:val="2"/>
              <w:keepNext w:val="0"/>
              <w:keepLines w:val="0"/>
              <w:widowControl/>
              <w:suppressLineNumbers w:val="0"/>
            </w:pPr>
            <w:r>
              <w:t>　　21452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4.政务微信公开政府信息数</w:t>
            </w:r>
          </w:p>
        </w:tc>
        <w:tc>
          <w:tcPr>
            <w:tcW w:w="1185" w:type="dxa"/>
            <w:shd w:val="clear"/>
            <w:vAlign w:val="top"/>
          </w:tcPr>
          <w:p>
            <w:pPr>
              <w:pStyle w:val="2"/>
              <w:keepNext w:val="0"/>
              <w:keepLines w:val="0"/>
              <w:widowControl/>
              <w:suppressLineNumbers w:val="0"/>
            </w:pPr>
            <w:r>
              <w:t>　　条</w:t>
            </w:r>
          </w:p>
        </w:tc>
        <w:tc>
          <w:tcPr>
            <w:tcW w:w="1290" w:type="dxa"/>
            <w:shd w:val="clear"/>
            <w:vAlign w:val="top"/>
          </w:tcPr>
          <w:p>
            <w:pPr>
              <w:pStyle w:val="2"/>
              <w:keepNext w:val="0"/>
              <w:keepLines w:val="0"/>
              <w:widowControl/>
              <w:suppressLineNumbers w:val="0"/>
            </w:pPr>
            <w:r>
              <w:t>　　3145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5.其他方式公开政府信息数</w:t>
            </w:r>
          </w:p>
        </w:tc>
        <w:tc>
          <w:tcPr>
            <w:tcW w:w="1185" w:type="dxa"/>
            <w:shd w:val="clear"/>
            <w:vAlign w:val="top"/>
          </w:tcPr>
          <w:p>
            <w:pPr>
              <w:pStyle w:val="2"/>
              <w:keepNext w:val="0"/>
              <w:keepLines w:val="0"/>
              <w:widowControl/>
              <w:suppressLineNumbers w:val="0"/>
            </w:pPr>
            <w:r>
              <w:t>　　条</w:t>
            </w:r>
          </w:p>
        </w:tc>
        <w:tc>
          <w:tcPr>
            <w:tcW w:w="1290" w:type="dxa"/>
            <w:shd w:val="clear"/>
            <w:vAlign w:val="top"/>
          </w:tcPr>
          <w:p>
            <w:pPr>
              <w:pStyle w:val="2"/>
              <w:keepNext w:val="0"/>
              <w:keepLines w:val="0"/>
              <w:widowControl/>
              <w:suppressLineNumbers w:val="0"/>
            </w:pPr>
            <w:r>
              <w:t>　　19605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二、回应解读情况（不同方式回应同一热点或舆情计1次）</w:t>
            </w:r>
          </w:p>
        </w:tc>
        <w:tc>
          <w:tcPr>
            <w:tcW w:w="1185"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c>
          <w:tcPr>
            <w:tcW w:w="1290"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（一）回应公众关注热点或重大舆情数</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3629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（二）通过不同渠道和方式回应解读的情况</w:t>
            </w:r>
          </w:p>
        </w:tc>
        <w:tc>
          <w:tcPr>
            <w:tcW w:w="1185"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c>
          <w:tcPr>
            <w:tcW w:w="1290"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1.参加或举办新闻发布会总次数</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41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其中：主要负责同志参加新闻发布会次数</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18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2.政府网站在线访谈次数</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127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其中：主要负责同志参加政府网站在线访谈次数</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32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3.政策解读稿件发布数</w:t>
            </w:r>
          </w:p>
        </w:tc>
        <w:tc>
          <w:tcPr>
            <w:tcW w:w="1185" w:type="dxa"/>
            <w:shd w:val="clear"/>
            <w:vAlign w:val="top"/>
          </w:tcPr>
          <w:p>
            <w:pPr>
              <w:pStyle w:val="2"/>
              <w:keepNext w:val="0"/>
              <w:keepLines w:val="0"/>
              <w:widowControl/>
              <w:suppressLineNumbers w:val="0"/>
            </w:pPr>
            <w:r>
              <w:t>　　篇</w:t>
            </w:r>
          </w:p>
        </w:tc>
        <w:tc>
          <w:tcPr>
            <w:tcW w:w="1290" w:type="dxa"/>
            <w:shd w:val="clear"/>
            <w:vAlign w:val="top"/>
          </w:tcPr>
          <w:p>
            <w:pPr>
              <w:pStyle w:val="2"/>
              <w:keepNext w:val="0"/>
              <w:keepLines w:val="0"/>
              <w:widowControl/>
              <w:suppressLineNumbers w:val="0"/>
            </w:pPr>
            <w:r>
              <w:t>　　780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4.微博微信回应事件数</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1066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5.其他方式回应事件数</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2212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三、依申请公开情况</w:t>
            </w:r>
          </w:p>
        </w:tc>
        <w:tc>
          <w:tcPr>
            <w:tcW w:w="1185"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c>
          <w:tcPr>
            <w:tcW w:w="1290"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（一）收到申请数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288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1.当面申请数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87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2.传真申请数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3.网络申请数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47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4.信函申请数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152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5.其他形式</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（二）申请办结数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288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1.按时办结数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283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2.延期办结数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（三）申请答复数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288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1.属于已主动公开范围数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60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2.同意公开答复数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111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3.同意部分公开答复数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20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4.不同意公开答复数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15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其中：涉及国家秘密</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涉及商业秘密</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涉及个人隐私</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12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危及国家安全、公共安全、经济安全和社会稳定</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不是《条例》所指政府信息</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法律法规规定的其他情形</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5.不属于本行政机关公开数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45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6.申请信息不存在数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25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7.告知作出更改补充数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8.告知通过其他途径办理数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四、行政复议数量</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（一）维持具体行政行为数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（二）被依法纠错数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（三）其他情形数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五、行政诉讼数量</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11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（一）维持具体行政行为或者驳回原告诉讼请求数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（二）被依法纠错数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（三）其他情形数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六、被举报投诉数量</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（一）维持具体行政行为数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（二）被纠错数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（三）其他情形数</w:t>
            </w:r>
          </w:p>
        </w:tc>
        <w:tc>
          <w:tcPr>
            <w:tcW w:w="1185" w:type="dxa"/>
            <w:shd w:val="clear"/>
            <w:vAlign w:val="top"/>
          </w:tcPr>
          <w:p>
            <w:pPr>
              <w:pStyle w:val="2"/>
              <w:keepNext w:val="0"/>
              <w:keepLines w:val="0"/>
              <w:widowControl/>
              <w:suppressLineNumbers w:val="0"/>
            </w:pPr>
            <w:r>
              <w:t>　　件</w:t>
            </w:r>
          </w:p>
        </w:tc>
        <w:tc>
          <w:tcPr>
            <w:tcW w:w="1290" w:type="dxa"/>
            <w:shd w:val="clear"/>
            <w:vAlign w:val="top"/>
          </w:tcPr>
          <w:p>
            <w:pPr>
              <w:pStyle w:val="2"/>
              <w:keepNext w:val="0"/>
              <w:keepLines w:val="0"/>
              <w:widowControl/>
              <w:suppressLineNumbers w:val="0"/>
            </w:pPr>
            <w: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七、向图书馆、档案馆等查阅场所报送信息数</w:t>
            </w:r>
          </w:p>
        </w:tc>
        <w:tc>
          <w:tcPr>
            <w:tcW w:w="1185" w:type="dxa"/>
            <w:shd w:val="clear"/>
            <w:vAlign w:val="top"/>
          </w:tcPr>
          <w:p>
            <w:pPr>
              <w:pStyle w:val="2"/>
              <w:keepNext w:val="0"/>
              <w:keepLines w:val="0"/>
              <w:widowControl/>
              <w:suppressLineNumbers w:val="0"/>
            </w:pPr>
            <w:r>
              <w:t>　　条</w:t>
            </w:r>
          </w:p>
        </w:tc>
        <w:tc>
          <w:tcPr>
            <w:tcW w:w="1290" w:type="dxa"/>
            <w:shd w:val="clear"/>
            <w:vAlign w:val="top"/>
          </w:tcPr>
          <w:p>
            <w:pPr>
              <w:pStyle w:val="2"/>
              <w:keepNext w:val="0"/>
              <w:keepLines w:val="0"/>
              <w:widowControl/>
              <w:suppressLineNumbers w:val="0"/>
            </w:pPr>
            <w:r>
              <w:t>　　22108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（一）纸质文件数</w:t>
            </w:r>
          </w:p>
        </w:tc>
        <w:tc>
          <w:tcPr>
            <w:tcW w:w="1185" w:type="dxa"/>
            <w:shd w:val="clear"/>
            <w:vAlign w:val="top"/>
          </w:tcPr>
          <w:p>
            <w:pPr>
              <w:pStyle w:val="2"/>
              <w:keepNext w:val="0"/>
              <w:keepLines w:val="0"/>
              <w:widowControl/>
              <w:suppressLineNumbers w:val="0"/>
            </w:pPr>
            <w:r>
              <w:t>　　条</w:t>
            </w:r>
          </w:p>
        </w:tc>
        <w:tc>
          <w:tcPr>
            <w:tcW w:w="1290" w:type="dxa"/>
            <w:shd w:val="clear"/>
            <w:vAlign w:val="top"/>
          </w:tcPr>
          <w:p>
            <w:pPr>
              <w:pStyle w:val="2"/>
              <w:keepNext w:val="0"/>
              <w:keepLines w:val="0"/>
              <w:widowControl/>
              <w:suppressLineNumbers w:val="0"/>
            </w:pPr>
            <w:r>
              <w:t>　　20939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（二）电子文件数</w:t>
            </w:r>
          </w:p>
        </w:tc>
        <w:tc>
          <w:tcPr>
            <w:tcW w:w="1185" w:type="dxa"/>
            <w:shd w:val="clear"/>
            <w:vAlign w:val="top"/>
          </w:tcPr>
          <w:p>
            <w:pPr>
              <w:pStyle w:val="2"/>
              <w:keepNext w:val="0"/>
              <w:keepLines w:val="0"/>
              <w:widowControl/>
              <w:suppressLineNumbers w:val="0"/>
            </w:pPr>
            <w:r>
              <w:t>　　条</w:t>
            </w:r>
          </w:p>
        </w:tc>
        <w:tc>
          <w:tcPr>
            <w:tcW w:w="1290" w:type="dxa"/>
            <w:shd w:val="clear"/>
            <w:vAlign w:val="top"/>
          </w:tcPr>
          <w:p>
            <w:pPr>
              <w:pStyle w:val="2"/>
              <w:keepNext w:val="0"/>
              <w:keepLines w:val="0"/>
              <w:widowControl/>
              <w:suppressLineNumbers w:val="0"/>
            </w:pPr>
            <w:r>
              <w:t>　　1475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八、开通政府信息公开网站（或设立门户网站信息公开专栏）数</w:t>
            </w:r>
          </w:p>
        </w:tc>
        <w:tc>
          <w:tcPr>
            <w:tcW w:w="1185" w:type="dxa"/>
            <w:shd w:val="clear"/>
            <w:vAlign w:val="top"/>
          </w:tcPr>
          <w:p>
            <w:pPr>
              <w:pStyle w:val="2"/>
              <w:keepNext w:val="0"/>
              <w:keepLines w:val="0"/>
              <w:widowControl/>
              <w:suppressLineNumbers w:val="0"/>
            </w:pPr>
            <w:r>
              <w:t>　　个</w:t>
            </w:r>
          </w:p>
        </w:tc>
        <w:tc>
          <w:tcPr>
            <w:tcW w:w="1290" w:type="dxa"/>
            <w:shd w:val="clear"/>
            <w:vAlign w:val="top"/>
          </w:tcPr>
          <w:p>
            <w:pPr>
              <w:pStyle w:val="2"/>
              <w:keepNext w:val="0"/>
              <w:keepLines w:val="0"/>
              <w:widowControl/>
              <w:suppressLineNumbers w:val="0"/>
            </w:pPr>
            <w:r>
              <w:t>　　428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（一）市政府及其部门门户网站</w:t>
            </w:r>
          </w:p>
        </w:tc>
        <w:tc>
          <w:tcPr>
            <w:tcW w:w="1185" w:type="dxa"/>
            <w:shd w:val="clear"/>
            <w:vAlign w:val="top"/>
          </w:tcPr>
          <w:p>
            <w:pPr>
              <w:pStyle w:val="2"/>
              <w:keepNext w:val="0"/>
              <w:keepLines w:val="0"/>
              <w:widowControl/>
              <w:suppressLineNumbers w:val="0"/>
            </w:pPr>
            <w:r>
              <w:t>　　个</w:t>
            </w:r>
          </w:p>
        </w:tc>
        <w:tc>
          <w:tcPr>
            <w:tcW w:w="1290" w:type="dxa"/>
            <w:shd w:val="clear"/>
            <w:vAlign w:val="top"/>
          </w:tcPr>
          <w:p>
            <w:pPr>
              <w:pStyle w:val="2"/>
              <w:keepNext w:val="0"/>
              <w:keepLines w:val="0"/>
              <w:widowControl/>
              <w:suppressLineNumbers w:val="0"/>
            </w:pPr>
            <w:r>
              <w:t>　　209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（二）县（市、区）政府门户网站</w:t>
            </w:r>
          </w:p>
        </w:tc>
        <w:tc>
          <w:tcPr>
            <w:tcW w:w="1185" w:type="dxa"/>
            <w:shd w:val="clear"/>
            <w:vAlign w:val="top"/>
          </w:tcPr>
          <w:p>
            <w:pPr>
              <w:pStyle w:val="2"/>
              <w:keepNext w:val="0"/>
              <w:keepLines w:val="0"/>
              <w:widowControl/>
              <w:suppressLineNumbers w:val="0"/>
            </w:pPr>
            <w:r>
              <w:t>　　个</w:t>
            </w:r>
          </w:p>
        </w:tc>
        <w:tc>
          <w:tcPr>
            <w:tcW w:w="1290" w:type="dxa"/>
            <w:shd w:val="clear"/>
            <w:vAlign w:val="top"/>
          </w:tcPr>
          <w:p>
            <w:pPr>
              <w:pStyle w:val="2"/>
              <w:keepNext w:val="0"/>
              <w:keepLines w:val="0"/>
              <w:widowControl/>
              <w:suppressLineNumbers w:val="0"/>
            </w:pPr>
            <w:r>
              <w:t>　　176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（三）乡镇政府（街道办事处）门户网站</w:t>
            </w:r>
          </w:p>
        </w:tc>
        <w:tc>
          <w:tcPr>
            <w:tcW w:w="1185" w:type="dxa"/>
            <w:shd w:val="clear"/>
            <w:vAlign w:val="top"/>
          </w:tcPr>
          <w:p>
            <w:pPr>
              <w:pStyle w:val="2"/>
              <w:keepNext w:val="0"/>
              <w:keepLines w:val="0"/>
              <w:widowControl/>
              <w:suppressLineNumbers w:val="0"/>
            </w:pPr>
            <w:r>
              <w:t>　　个</w:t>
            </w:r>
          </w:p>
        </w:tc>
        <w:tc>
          <w:tcPr>
            <w:tcW w:w="1290" w:type="dxa"/>
            <w:shd w:val="clear"/>
            <w:vAlign w:val="top"/>
          </w:tcPr>
          <w:p>
            <w:pPr>
              <w:pStyle w:val="2"/>
              <w:keepNext w:val="0"/>
              <w:keepLines w:val="0"/>
              <w:widowControl/>
              <w:suppressLineNumbers w:val="0"/>
            </w:pPr>
            <w:r>
              <w:t>　　43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九、市政府公报发行量</w:t>
            </w:r>
          </w:p>
        </w:tc>
        <w:tc>
          <w:tcPr>
            <w:tcW w:w="1185"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c>
          <w:tcPr>
            <w:tcW w:w="1290"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（一）公报发行期数</w:t>
            </w:r>
          </w:p>
        </w:tc>
        <w:tc>
          <w:tcPr>
            <w:tcW w:w="1185" w:type="dxa"/>
            <w:shd w:val="clear"/>
            <w:vAlign w:val="top"/>
          </w:tcPr>
          <w:p>
            <w:pPr>
              <w:pStyle w:val="2"/>
              <w:keepNext w:val="0"/>
              <w:keepLines w:val="0"/>
              <w:widowControl/>
              <w:suppressLineNumbers w:val="0"/>
            </w:pPr>
            <w:r>
              <w:t>　　期</w:t>
            </w:r>
          </w:p>
        </w:tc>
        <w:tc>
          <w:tcPr>
            <w:tcW w:w="1290" w:type="dxa"/>
            <w:shd w:val="clear"/>
            <w:vAlign w:val="top"/>
          </w:tcPr>
          <w:p>
            <w:pPr>
              <w:pStyle w:val="2"/>
              <w:keepNext w:val="0"/>
              <w:keepLines w:val="0"/>
              <w:widowControl/>
              <w:suppressLineNumbers w:val="0"/>
            </w:pPr>
            <w:r>
              <w:t>　　15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（二）公报发行总份数</w:t>
            </w:r>
          </w:p>
        </w:tc>
        <w:tc>
          <w:tcPr>
            <w:tcW w:w="1185" w:type="dxa"/>
            <w:shd w:val="clear"/>
            <w:vAlign w:val="top"/>
          </w:tcPr>
          <w:p>
            <w:pPr>
              <w:pStyle w:val="2"/>
              <w:keepNext w:val="0"/>
              <w:keepLines w:val="0"/>
              <w:widowControl/>
              <w:suppressLineNumbers w:val="0"/>
            </w:pPr>
            <w:r>
              <w:t>　　份</w:t>
            </w:r>
          </w:p>
        </w:tc>
        <w:tc>
          <w:tcPr>
            <w:tcW w:w="1290" w:type="dxa"/>
            <w:shd w:val="clear"/>
            <w:vAlign w:val="top"/>
          </w:tcPr>
          <w:p>
            <w:pPr>
              <w:pStyle w:val="2"/>
              <w:keepNext w:val="0"/>
              <w:keepLines w:val="0"/>
              <w:widowControl/>
              <w:suppressLineNumbers w:val="0"/>
            </w:pPr>
            <w:r>
              <w:t>　　67500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十、设置政府信息查阅点数</w:t>
            </w:r>
          </w:p>
        </w:tc>
        <w:tc>
          <w:tcPr>
            <w:tcW w:w="1185" w:type="dxa"/>
            <w:shd w:val="clear"/>
            <w:vAlign w:val="top"/>
          </w:tcPr>
          <w:p>
            <w:pPr>
              <w:pStyle w:val="2"/>
              <w:keepNext w:val="0"/>
              <w:keepLines w:val="0"/>
              <w:widowControl/>
              <w:suppressLineNumbers w:val="0"/>
            </w:pPr>
            <w:r>
              <w:t>　　个</w:t>
            </w:r>
          </w:p>
        </w:tc>
        <w:tc>
          <w:tcPr>
            <w:tcW w:w="1290" w:type="dxa"/>
            <w:shd w:val="clear"/>
            <w:vAlign w:val="top"/>
          </w:tcPr>
          <w:p>
            <w:pPr>
              <w:pStyle w:val="2"/>
              <w:keepNext w:val="0"/>
              <w:keepLines w:val="0"/>
              <w:widowControl/>
              <w:suppressLineNumbers w:val="0"/>
            </w:pPr>
            <w:r>
              <w:t>　　627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（一）市政府及其部门</w:t>
            </w:r>
          </w:p>
        </w:tc>
        <w:tc>
          <w:tcPr>
            <w:tcW w:w="1185" w:type="dxa"/>
            <w:shd w:val="clear"/>
            <w:vAlign w:val="top"/>
          </w:tcPr>
          <w:p>
            <w:pPr>
              <w:pStyle w:val="2"/>
              <w:keepNext w:val="0"/>
              <w:keepLines w:val="0"/>
              <w:widowControl/>
              <w:suppressLineNumbers w:val="0"/>
            </w:pPr>
            <w:r>
              <w:t>　　个</w:t>
            </w:r>
          </w:p>
        </w:tc>
        <w:tc>
          <w:tcPr>
            <w:tcW w:w="1290" w:type="dxa"/>
            <w:shd w:val="clear"/>
            <w:vAlign w:val="top"/>
          </w:tcPr>
          <w:p>
            <w:pPr>
              <w:pStyle w:val="2"/>
              <w:keepNext w:val="0"/>
              <w:keepLines w:val="0"/>
              <w:widowControl/>
              <w:suppressLineNumbers w:val="0"/>
            </w:pPr>
            <w:r>
              <w:t>　　228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（二）县（市、区）政府及其部门</w:t>
            </w:r>
          </w:p>
        </w:tc>
        <w:tc>
          <w:tcPr>
            <w:tcW w:w="1185" w:type="dxa"/>
            <w:shd w:val="clear"/>
            <w:vAlign w:val="top"/>
          </w:tcPr>
          <w:p>
            <w:pPr>
              <w:pStyle w:val="2"/>
              <w:keepNext w:val="0"/>
              <w:keepLines w:val="0"/>
              <w:widowControl/>
              <w:suppressLineNumbers w:val="0"/>
            </w:pPr>
            <w:r>
              <w:t>　　个</w:t>
            </w:r>
          </w:p>
        </w:tc>
        <w:tc>
          <w:tcPr>
            <w:tcW w:w="1290" w:type="dxa"/>
            <w:shd w:val="clear"/>
            <w:vAlign w:val="top"/>
          </w:tcPr>
          <w:p>
            <w:pPr>
              <w:pStyle w:val="2"/>
              <w:keepNext w:val="0"/>
              <w:keepLines w:val="0"/>
              <w:widowControl/>
              <w:suppressLineNumbers w:val="0"/>
            </w:pPr>
            <w:r>
              <w:t>　　335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（三）乡镇政府（街道办事处）</w:t>
            </w:r>
          </w:p>
        </w:tc>
        <w:tc>
          <w:tcPr>
            <w:tcW w:w="1185" w:type="dxa"/>
            <w:shd w:val="clear"/>
            <w:vAlign w:val="top"/>
          </w:tcPr>
          <w:p>
            <w:pPr>
              <w:pStyle w:val="2"/>
              <w:keepNext w:val="0"/>
              <w:keepLines w:val="0"/>
              <w:widowControl/>
              <w:suppressLineNumbers w:val="0"/>
            </w:pPr>
            <w:r>
              <w:t>　　个</w:t>
            </w:r>
          </w:p>
        </w:tc>
        <w:tc>
          <w:tcPr>
            <w:tcW w:w="1290" w:type="dxa"/>
            <w:shd w:val="clear"/>
            <w:vAlign w:val="top"/>
          </w:tcPr>
          <w:p>
            <w:pPr>
              <w:pStyle w:val="2"/>
              <w:keepNext w:val="0"/>
              <w:keepLines w:val="0"/>
              <w:widowControl/>
              <w:suppressLineNumbers w:val="0"/>
            </w:pPr>
            <w:r>
              <w:t>　　64</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十一、查阅点接待人数</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56465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（一）市政府及其部门</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11400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（二）县（市、区）政府及其部门</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14896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（三）乡镇政府（街道办事处）</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30169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十二、依申请公开信息收取的费用</w:t>
            </w:r>
          </w:p>
        </w:tc>
        <w:tc>
          <w:tcPr>
            <w:tcW w:w="1185" w:type="dxa"/>
            <w:shd w:val="clear"/>
            <w:vAlign w:val="top"/>
          </w:tcPr>
          <w:p>
            <w:pPr>
              <w:pStyle w:val="2"/>
              <w:keepNext w:val="0"/>
              <w:keepLines w:val="0"/>
              <w:widowControl/>
              <w:suppressLineNumbers w:val="0"/>
            </w:pPr>
            <w:r>
              <w:t>　　万元</w:t>
            </w:r>
          </w:p>
        </w:tc>
        <w:tc>
          <w:tcPr>
            <w:tcW w:w="1290" w:type="dxa"/>
            <w:shd w:val="clear"/>
            <w:vAlign w:val="top"/>
          </w:tcPr>
          <w:p>
            <w:pPr>
              <w:pStyle w:val="2"/>
              <w:keepNext w:val="0"/>
              <w:keepLines w:val="0"/>
              <w:widowControl/>
              <w:suppressLineNumbers w:val="0"/>
            </w:pPr>
            <w:r>
              <w:t>　　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十三、机构建设和保障经费情况</w:t>
            </w:r>
          </w:p>
        </w:tc>
        <w:tc>
          <w:tcPr>
            <w:tcW w:w="1185"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c>
          <w:tcPr>
            <w:tcW w:w="1290"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（一）政府信息公开工作专门机构数</w:t>
            </w:r>
          </w:p>
        </w:tc>
        <w:tc>
          <w:tcPr>
            <w:tcW w:w="1185" w:type="dxa"/>
            <w:shd w:val="clear"/>
            <w:vAlign w:val="top"/>
          </w:tcPr>
          <w:p>
            <w:pPr>
              <w:pStyle w:val="2"/>
              <w:keepNext w:val="0"/>
              <w:keepLines w:val="0"/>
              <w:widowControl/>
              <w:suppressLineNumbers w:val="0"/>
            </w:pPr>
            <w:r>
              <w:t>　　个</w:t>
            </w:r>
          </w:p>
        </w:tc>
        <w:tc>
          <w:tcPr>
            <w:tcW w:w="1290" w:type="dxa"/>
            <w:shd w:val="clear"/>
            <w:vAlign w:val="top"/>
          </w:tcPr>
          <w:p>
            <w:pPr>
              <w:pStyle w:val="2"/>
              <w:keepNext w:val="0"/>
              <w:keepLines w:val="0"/>
              <w:widowControl/>
              <w:suppressLineNumbers w:val="0"/>
            </w:pPr>
            <w:r>
              <w:t>　　525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（二）从事政府信息公开工作人员数</w:t>
            </w:r>
          </w:p>
        </w:tc>
        <w:tc>
          <w:tcPr>
            <w:tcW w:w="1185" w:type="dxa"/>
            <w:shd w:val="clear"/>
            <w:vAlign w:val="top"/>
          </w:tcPr>
          <w:p>
            <w:pPr>
              <w:pStyle w:val="2"/>
              <w:keepNext w:val="0"/>
              <w:keepLines w:val="0"/>
              <w:widowControl/>
              <w:suppressLineNumbers w:val="0"/>
            </w:pPr>
            <w:r>
              <w:t>　　人</w:t>
            </w:r>
          </w:p>
        </w:tc>
        <w:tc>
          <w:tcPr>
            <w:tcW w:w="1290" w:type="dxa"/>
            <w:shd w:val="clear"/>
            <w:vAlign w:val="top"/>
          </w:tcPr>
          <w:p>
            <w:pPr>
              <w:pStyle w:val="2"/>
              <w:keepNext w:val="0"/>
              <w:keepLines w:val="0"/>
              <w:widowControl/>
              <w:suppressLineNumbers w:val="0"/>
            </w:pPr>
            <w:r>
              <w:t>　　1050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1.专职人员数（不包括政府公报及政府网站工作人员数）</w:t>
            </w:r>
          </w:p>
        </w:tc>
        <w:tc>
          <w:tcPr>
            <w:tcW w:w="1185" w:type="dxa"/>
            <w:shd w:val="clear"/>
            <w:vAlign w:val="top"/>
          </w:tcPr>
          <w:p>
            <w:pPr>
              <w:pStyle w:val="2"/>
              <w:keepNext w:val="0"/>
              <w:keepLines w:val="0"/>
              <w:widowControl/>
              <w:suppressLineNumbers w:val="0"/>
            </w:pPr>
            <w:r>
              <w:t>　　人</w:t>
            </w:r>
          </w:p>
        </w:tc>
        <w:tc>
          <w:tcPr>
            <w:tcW w:w="1290" w:type="dxa"/>
            <w:shd w:val="clear"/>
            <w:vAlign w:val="top"/>
          </w:tcPr>
          <w:p>
            <w:pPr>
              <w:pStyle w:val="2"/>
              <w:keepNext w:val="0"/>
              <w:keepLines w:val="0"/>
              <w:widowControl/>
              <w:suppressLineNumbers w:val="0"/>
            </w:pPr>
            <w:r>
              <w:t>　　202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2.兼职人员数</w:t>
            </w:r>
          </w:p>
        </w:tc>
        <w:tc>
          <w:tcPr>
            <w:tcW w:w="1185" w:type="dxa"/>
            <w:shd w:val="clear"/>
            <w:vAlign w:val="top"/>
          </w:tcPr>
          <w:p>
            <w:pPr>
              <w:pStyle w:val="2"/>
              <w:keepNext w:val="0"/>
              <w:keepLines w:val="0"/>
              <w:widowControl/>
              <w:suppressLineNumbers w:val="0"/>
            </w:pPr>
            <w:r>
              <w:t>　　人</w:t>
            </w:r>
          </w:p>
        </w:tc>
        <w:tc>
          <w:tcPr>
            <w:tcW w:w="1290" w:type="dxa"/>
            <w:shd w:val="clear"/>
            <w:vAlign w:val="top"/>
          </w:tcPr>
          <w:p>
            <w:pPr>
              <w:pStyle w:val="2"/>
              <w:keepNext w:val="0"/>
              <w:keepLines w:val="0"/>
              <w:widowControl/>
              <w:suppressLineNumbers w:val="0"/>
            </w:pPr>
            <w:r>
              <w:t>　　848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（三）政府信息公开专项经费（不包括用于政府公报编辑管理及政府网站建设维</w:t>
            </w:r>
            <w:r>
              <w:br w:type="textWrapping"/>
            </w:r>
            <w:r>
              <w:t>           　　　　　护等方面的经费）</w:t>
            </w:r>
          </w:p>
        </w:tc>
        <w:tc>
          <w:tcPr>
            <w:tcW w:w="1185" w:type="dxa"/>
            <w:shd w:val="clear"/>
            <w:vAlign w:val="top"/>
          </w:tcPr>
          <w:p>
            <w:pPr>
              <w:pStyle w:val="2"/>
              <w:keepNext w:val="0"/>
              <w:keepLines w:val="0"/>
              <w:widowControl/>
              <w:suppressLineNumbers w:val="0"/>
            </w:pPr>
            <w:r>
              <w:t>　　万元</w:t>
            </w:r>
          </w:p>
        </w:tc>
        <w:tc>
          <w:tcPr>
            <w:tcW w:w="1290" w:type="dxa"/>
            <w:shd w:val="clear"/>
            <w:vAlign w:val="top"/>
          </w:tcPr>
          <w:p>
            <w:pPr>
              <w:pStyle w:val="2"/>
              <w:keepNext w:val="0"/>
              <w:keepLines w:val="0"/>
              <w:widowControl/>
              <w:suppressLineNumbers w:val="0"/>
            </w:pPr>
            <w:r>
              <w:t>　　38.66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十四、政府信息公开会议和培训情况</w:t>
            </w:r>
          </w:p>
        </w:tc>
        <w:tc>
          <w:tcPr>
            <w:tcW w:w="1185"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c>
          <w:tcPr>
            <w:tcW w:w="1290" w:type="dxa"/>
            <w:shd w:val="clear"/>
            <w:vAlign w:val="top"/>
          </w:tcPr>
          <w:p>
            <w:pPr>
              <w:keepNext w:val="0"/>
              <w:keepLines w:val="0"/>
              <w:widowControl/>
              <w:suppressLineNumbers w:val="0"/>
              <w:jc w:val="left"/>
            </w:pPr>
            <w:r>
              <w:rPr>
                <w:rFonts w:ascii="宋体" w:hAnsi="宋体" w:eastAsia="宋体" w:cs="宋体"/>
                <w:kern w:val="0"/>
                <w:sz w:val="24"/>
                <w:szCs w:val="24"/>
                <w:lang w:val="en-US" w:eastAsia="zh-CN" w:bidi="ar"/>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（一）召开政府信息公开工作会议或专题会议数</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244</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（二）举办各类培训班数</w:t>
            </w:r>
          </w:p>
        </w:tc>
        <w:tc>
          <w:tcPr>
            <w:tcW w:w="1185" w:type="dxa"/>
            <w:shd w:val="clear"/>
            <w:vAlign w:val="top"/>
          </w:tcPr>
          <w:p>
            <w:pPr>
              <w:pStyle w:val="2"/>
              <w:keepNext w:val="0"/>
              <w:keepLines w:val="0"/>
              <w:widowControl/>
              <w:suppressLineNumbers w:val="0"/>
            </w:pPr>
            <w:r>
              <w:t>　　次</w:t>
            </w:r>
          </w:p>
        </w:tc>
        <w:tc>
          <w:tcPr>
            <w:tcW w:w="1290" w:type="dxa"/>
            <w:shd w:val="clear"/>
            <w:vAlign w:val="top"/>
          </w:tcPr>
          <w:p>
            <w:pPr>
              <w:pStyle w:val="2"/>
              <w:keepNext w:val="0"/>
              <w:keepLines w:val="0"/>
              <w:widowControl/>
              <w:suppressLineNumbers w:val="0"/>
            </w:pPr>
            <w:r>
              <w:t>　　261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jc w:val="center"/>
        </w:trPr>
        <w:tc>
          <w:tcPr>
            <w:tcW w:w="5805" w:type="dxa"/>
            <w:shd w:val="clear"/>
            <w:vAlign w:val="top"/>
          </w:tcPr>
          <w:p>
            <w:pPr>
              <w:pStyle w:val="2"/>
              <w:keepNext w:val="0"/>
              <w:keepLines w:val="0"/>
              <w:widowControl/>
              <w:suppressLineNumbers w:val="0"/>
            </w:pPr>
            <w:r>
              <w:t>　　（三）接受培训人员数</w:t>
            </w:r>
          </w:p>
        </w:tc>
        <w:tc>
          <w:tcPr>
            <w:tcW w:w="1185" w:type="dxa"/>
            <w:shd w:val="clear"/>
            <w:vAlign w:val="top"/>
          </w:tcPr>
          <w:p>
            <w:pPr>
              <w:pStyle w:val="2"/>
              <w:keepNext w:val="0"/>
              <w:keepLines w:val="0"/>
              <w:widowControl/>
              <w:suppressLineNumbers w:val="0"/>
            </w:pPr>
            <w:r>
              <w:t>　　人次</w:t>
            </w:r>
          </w:p>
        </w:tc>
        <w:tc>
          <w:tcPr>
            <w:tcW w:w="1290" w:type="dxa"/>
            <w:shd w:val="clear"/>
            <w:vAlign w:val="top"/>
          </w:tcPr>
          <w:p>
            <w:pPr>
              <w:pStyle w:val="2"/>
              <w:keepNext w:val="0"/>
              <w:keepLines w:val="0"/>
              <w:widowControl/>
              <w:suppressLineNumbers w:val="0"/>
            </w:pPr>
            <w:r>
              <w:t>　　7959</w:t>
            </w:r>
          </w:p>
        </w:tc>
      </w:tr>
    </w:tbl>
    <w:p>
      <w:pPr>
        <w:pStyle w:val="2"/>
        <w:keepNext w:val="0"/>
        <w:keepLines w:val="0"/>
        <w:widowControl/>
        <w:suppressLineNumbers w:val="0"/>
      </w:pPr>
      <w:r>
        <w:t>　　                          </w:t>
      </w:r>
    </w:p>
    <w:p>
      <w:pPr>
        <w:pStyle w:val="2"/>
        <w:keepNext w:val="0"/>
        <w:keepLines w:val="0"/>
        <w:widowControl/>
        <w:suppressLineNumbers w:val="0"/>
      </w:pPr>
      <w:r>
        <w:br w:type="textWrapping"/>
      </w:r>
      <w:r>
        <w:fldChar w:fldCharType="begin"/>
      </w:r>
      <w:r>
        <w:instrText xml:space="preserve"> HYPERLINK "http://www.zibo.gov.cn/picture/old/xxgk/150330140740130.doc.pdf" </w:instrText>
      </w:r>
      <w:r>
        <w:fldChar w:fldCharType="separate"/>
      </w:r>
      <w:r>
        <w:rPr>
          <w:rStyle w:val="6"/>
        </w:rPr>
        <w:t>文件下载：2014年淄博市政府信息公开工作年度报告(201502).doc.pdf</w:t>
      </w:r>
      <w: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D14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customXml" Target="../customXml/item1.xml"/><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2021-11-18T07:11:04Z</dcterms:created>
  <dc:creator>Administrator</dc:creator>
  <cp:lastModifiedBy>吉吉国王</cp:lastModifiedBy>
  <dcterms:modified xsi:type="dcterms:W3CDTF">2021-11-18T07:12:16Z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